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 projekta īstenošanas personāla atlīdzības un izmaksas, ko nosaka normatīvie akti, šo noteikumu </w:t>
            </w:r>
            <w:r w:rsidR="00000000" w:rsidRPr="00000000" w:rsidDel="00000000">
              <w:rPr>
                <w:rtl w:val="0"/>
              </w:rPr>
              <w:t xml:space="preserve">15.1.</w:t>
            </w:r>
            <w:r w:rsidR="00000000" w:rsidRPr="00000000" w:rsidDel="00000000">
              <w:rPr>
                <w:rtl w:val="0"/>
              </w:rPr>
              <w:t xml:space="preserve"> līdz </w:t>
            </w:r>
            <w:r w:rsidR="00000000" w:rsidRPr="00000000" w:rsidDel="00000000">
              <w:rPr>
                <w:rtl w:val="0"/>
              </w:rPr>
              <w:t xml:space="preserve">15.9. </w:t>
            </w:r>
            <w:r w:rsidR="00000000" w:rsidRPr="00000000" w:rsidDel="00000000">
              <w:rPr>
                <w:rtl w:val="0"/>
              </w:rPr>
              <w:t xml:space="preserve">apakšpunktā</w:t>
            </w:r>
            <w:r w:rsidR="00000000" w:rsidRPr="00000000" w:rsidDel="00000000">
              <w:rPr>
                <w:rtl w:val="0"/>
              </w:rPr>
              <w:t xml:space="preserve"> noteikto darbu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1. punktā svītrot vārdus "un izmaksas, ko nosaka normatīvie akti" vai precīzi norādīt, kāda veida izmaksas ir attiecināmas un kādi normatīvie akti (vai to joma) tās paredz, nodrošinot, ka minētās izmaksas nepārklājas ar Ministru kabineta 2023. gada 12. decembra noteikumu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 15.1 līdz 15.9. apakšpunktā paredzētajām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noteiktās 2.4.1.2.i. investīcijas attiecināmās izmaksas, izņemot materiālu iegādes izmaksas, iespējams veikt finansējuma saņēmējam vai sadarbības partnerim,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2. punktu, jo norāde uz attiecināmo izmaksu veikšanu ir redakcionāli neskaidra un var nesasniegt šajā punktā ietvertā regulējuma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Šo noteikumu 15. punktā noteiktos darbus, izņemot materiālu iegādi, iespējams veikt finansējuma saņēmējam vai sadarbības partnerim,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noteiktās 2.4.1.2.i. investīcijas attiecināmās izmaksas, izņemot materiālu iegādes izmaksas, iespējams veikt finansējuma saņēmējam vai sadarbības partnerim,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sniedzot pamatojumu noteikumu projekta 2. punktā ietvertā regulējuma atbilstībai Komisijas 2014. gada 17. jūnija Regulas (ES) Nr. 651/2014, ar ko noteiktas atbalsta kategorijas atzīst par saderīgām ar iekšējo tirgu, piemērojot Līguma 107. un 108. pantu, 52. panta 7. panta attiecīgi "a" apakšpunktā noteiktajām prasībām (ievērojot, ka "b" apakšpunkts attiecināms uz atbalsta piešķiršanu publiskai iestādei). Kā arī, ņemot vērā, ka minētā panta regulējums tiek ieviests ar noteikumu projektu, lūdzam aizpildīt arī noteikumu projekta anotācijas 5. sadaļu, ievērojot Ministru kabineta 2021. gada 7. septembra noteikumu Nr. 617 "Tiesību akta projekta sākotnējās ietekmes izvērtēšanas kārtība" 9.19. apakšpunktā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24-TA-607</w:t>
    </w:r>
    <w:r>
      <w:br/>
    </w:r>
    <w:r w:rsidR="00000000" w:rsidRPr="00000000" w:rsidDel="00000000">
      <w:rPr>
        <w:rtl w:val="0"/>
      </w:rPr>
      <w:t xml:space="preserve">Izdrukāts 20.03.2024. 20.18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24-TA-607</w:t>
    </w:r>
    <w:r>
      <w:br/>
    </w:r>
    <w:r w:rsidR="00000000" w:rsidRPr="00000000" w:rsidDel="00000000">
      <w:rPr>
        <w:rtl w:val="0"/>
      </w:rPr>
      <w:t xml:space="preserve">Izdrukāts 20.03.2024. 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Atzinumi_24-TA-607.docx</dc:title>
</cp:coreProperties>
</file>

<file path=docProps/custom.xml><?xml version="1.0" encoding="utf-8"?>
<Properties xmlns="http://schemas.openxmlformats.org/officeDocument/2006/custom-properties" xmlns:vt="http://schemas.openxmlformats.org/officeDocument/2006/docPropsVTypes"/>
</file>