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341 "Noteikumi par civilās aizsardzības un katastrofas pārvaldīšanas mācību veidiem un organizēšanas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25-TA-3067)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20. jūnija noteikumos Nr. 341 "Noteikumi par civilās aizsardzības un katastrofas pārvaldīšanas mācību veidiem un organizēšanas kārtību" (Latvijas Vēstnesis, 2017, 124.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liecina, ka Valsts ugunsdzēsības un glābšanas dienests (turpmāk – Dienests) un Krīžu vadības centrs no ministrijām un to padotības iestādēm pieprasa saturiski identisku informāciju par plānotajām vai īstenotajām civilās aizsardzības un darbības nepārtrauktības/noturības mācībām. Tas saistīts ar to, ka spēkā esošie noteikumi nenosaka institūciju pienākumus informācijas pieprasīšanā un uzskaitē. Rezultātā iestādēm 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dubults administratīvais slogs, sagatavojot vienādas atskaites divām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atšķirīgas formas un termiņu prasības, kas palielina kļūdu un nekonsekvences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nevajadzīga birokrātija, kas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civilās aizsardzības mācības ir civilās aizsardzības sistēmas gatavības pārbaudes instruments (Civilās aizsardzības un katastrofas pārvaldīšanas likuma (turpmāk - Likums) 19. panta 2. punkts), informācijas apkopošana par šīm mācībām ir tieši un juridiski pamatoti saistīta ar Dienesta likumā noteiktajām koordinācijas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nostiprinātu Likuma 10. panta pirmās daļas 1. punkta izrietošo kompetenci praktiskā normatīvajā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samazinātu valsts pārvaldes iestāžu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izveidotu centralizētu un konsekventu informācijas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nav normas, kas regulētu informācijas apriti vai sistemātisku uzskaiti par mācībām. Lai nodrošinātu vienotu informācijas apriti un pilnvērtīgu civilās aizsardzības sistēmas koordināciju, noteikumi jāpapildina ar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Valsts ugunsdzēsības un glābšanas dienests, pamatojoties uz Civilās aizsardzības un katastrofas pārvaldīšanas likuma 10. panta pirmās daļas 1. punktu, nodrošina civilās aizsardzības un darbības nepārtrauktības/noturības mācību informācijas pieprasīšanu, apkopošanu un centralizētu uzskaiti. Krīžu vadības centrs un citas valsts un pašvaldību institūcijas sev nepieciešamo informāciju par šāda veida mācībām iegūst no Valsts ugunsdzēsības un glābšanas dienesta kā centralizētā informācijas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23.03.2026.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23.03.2026.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Atzinumi_25-TA-3067.docx</dc:title>
</cp:coreProperties>
</file>

<file path=docProps/custom.xml><?xml version="1.0" encoding="utf-8"?>
<Properties xmlns="http://schemas.openxmlformats.org/officeDocument/2006/custom-properties" xmlns:vt="http://schemas.openxmlformats.org/officeDocument/2006/docPropsVTypes"/>
</file>