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25-TA-1352: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Patērētāju tiesību aizsardzības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6</w:t>
            </w:r>
            <w:r w:rsidR="00000000" w:rsidRPr="00000000" w:rsidDel="00000000">
              <w:rPr>
                <w:rtl w:val="0"/>
              </w:rPr>
              <w:t xml:space="preserve"> pants. Eiropas remonta informācijas veidlapa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remontētāji var izsniegt Eiropas remonta informācijas veidlapu (turpmāk – remonta veidlapa), kuru izsniedz tādā gadījumā, ja remontētājs ir izvēlējies to sagatavot un nodrošināt izsniegšanai patērētājiem.  Remonta veidlapu izsniedz saprātīgā laika posmā, izmantojot pastāvīgu informācijas nesēju, pirms patērētājam kļūst saistošs līgums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Remonta veidlapa tiek izsniegta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nosacījums var netikt attiecināms uz gadījumiem, ja ir nepieciešams veikt fizisku vai attālinātu diagnostiku, lai noteiktu defekta vai nepieciešamā remonta veidu un provizoriskās remonta izmaksas. Tādā gadījumā remontētājs var pieprasīt patērētājam segt diagnostikas pakalpojuma cenu, par to informējot patērētāju, pirms tas ir piekritis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Remontētājs negroza remonta veidlapā norādītos remonta nosacījumus 30 kalendārās dienas no tās dienas, kad remonta veidlapa tikusi izsniegta patērētājam. Ja patērētājs remonta veidlapas derīguma termiņa laikā piekrīt tajā izklāstītajiem nosacījumiem, remontētājam ir pienākums sniegt attiecīgo remonta pakalpojumu saskaņā ar minētajiem nosacījumiem. Remontētājs un patērētājs var vienoties arī par garāku remonta veidlapas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remontētājs ir izsniedzis patērētājam atbilstoši normatīvajiem aktiem aizpildītu remonta veidlapu, tas ir izpildījis noteiktās prasības attiecībā uz patērētāja informēšanu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attiecīgās preces remonta pakalpojuma galvenajām iezīmēm atbilstošā apjomā, ja tas nepārprotami neizriet no konteksta;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 identitāti, tajā skaitā nosaukumu (firmu), juridisko adresi, tālruņa numuru vai elektroniskā pasta adresi, lai patērētājam nodrošinātu iespēju tiešā un ātrā veidā sazināties ar remontētāju;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remonta pakalpojuma cenu, ieskaitot nodokļus un nodevas, ja šādas izmaksas remontētājs ir iepriekš noteicis. Ja remonta pakalpojuma cenu pamatoti nevar aprēķināt iepriekš, norāda cenas aprēķināšanas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maksāšanas, remonta pakalpojuma izpildes noteikumiem un tā sniegšanas termiņu, kā arī sūdzību izskatīšanas kārtību, ja tas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Remonta veidlapas paraugu, tajā iekļaujamo informāciju un prasības par patērētāja informēšanu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likumā vai tā anotācijā precīzi norādīt, kas tieši neizriet no konteksta likumprojektā ietvertā Patērētāju tiesību aizsardzības likumā (turpmāk - likums) 21.</w:t>
            </w:r>
            <w:r w:rsidR="00000000" w:rsidRPr="00000000" w:rsidDel="00000000">
              <w:rPr>
                <w:vertAlign w:val="superscript"/>
                <w:rtl w:val="0"/>
              </w:rPr>
              <w:t xml:space="preserve">6</w:t>
            </w:r>
            <w:r w:rsidR="00000000" w:rsidRPr="00000000" w:rsidDel="00000000">
              <w:rPr>
                <w:rtl w:val="0"/>
              </w:rPr>
              <w:t xml:space="preserve"> panta piektās daļas 1. punktā. Ierosinām tiesiskās noteiktības nolūkā šajā punktā un arī pārējos 21.</w:t>
            </w:r>
            <w:r w:rsidR="00000000" w:rsidRPr="00000000" w:rsidDel="00000000">
              <w:rPr>
                <w:vertAlign w:val="superscript"/>
                <w:rtl w:val="0"/>
              </w:rPr>
              <w:t xml:space="preserve">6</w:t>
            </w:r>
            <w:r w:rsidR="00000000" w:rsidRPr="00000000" w:rsidDel="00000000">
              <w:rPr>
                <w:rtl w:val="0"/>
              </w:rPr>
              <w:t xml:space="preserve"> panta piektās daļas punktos norādīt konkrētas likuma vienības, kas paredz informēšanas prasības, kuras remontētājs, izsniedzot patērētājam atbilstoši normatīvajiem aktiem aizpildītu remonta veidlapu, izpilda.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10</w:t>
            </w:r>
            <w:r w:rsidR="00000000" w:rsidRPr="00000000" w:rsidDel="00000000">
              <w:rPr>
                <w:rtl w:val="0"/>
              </w:rPr>
              <w:t xml:space="preserve"> Preces un preces ar digitāliem elementiem, uz kurām attiecas remontējamības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patērētāja pieprasījuma ražotājs nodrošina preču vai preču ar digitāliem elementiem remontu, attiecībā uz kurām Eiropas Savienības tiesību aktos ir paredzētas remontējamības prasības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Sadzīves veļas mazgāšanas mašīnām un sadzīves veļas mazgāšanas un žāvēšanas mašīnām, saskaņā ar Eiropas Komisijas (ES) 2019. gada 1. oktobra regulu 2019/2023, ar ko saskaņā ar Eiropas Parlamenta un Padomes Direktīvu 2009/125/EK nosaka ekodizaina prasības sadzīves veļas mazgāšanas mašīnām un sadzīves veļas mazgāšanas un žāvēšanas mašīnām, ar ko groza Komisijas Regulu (EK) Nr. 1275/2008 un ar ko atceļ Komisijas Regulu (ES) Nr. 1015/2010;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Sadzīves trauku mazgāšanas mašīnām, saskaņā ar Eiropas Komisijas (ES) 2019. gada 1. oktobra regulu 2019/2022, ar ko saskaņā ar Eiropas Parlamenta un Padomes Direktīvu 2009/125/EK nosaka ekodizaina prasības sadzīves trauku mazgāšanas mašīnām, groza Komisijas Regulu (EK) Nr. 1275/2008 un atceļ Komisijas Regulu (ES) Nr. 1016/2010;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Aukstumiekārtām, saskaņā ar Eiropas Komisijas (ES) 2019. gada 1. oktobra regulu 2019/2019, ar ko saskaņā ar Eiropas Parlamenta un Padomes Direktīvu 2009/125/EK nosaka ekodizaina prasības aukstumiekārtām un atceļ Komisijas Regulu (EK) Nr. 643/2009;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Elektroniskajiem displejiem, saskaņā ar Eiropas Komisijas (ES) 2019. gada 1. oktobra regulu 2019/2021, ar ko nosaka ekodizaina prasības elektroniskajiem displejiem saskaņā ar Eiropas Parlamenta un Padomes Direktīvu 2009/125/EK, groza Komisijas Regulu (EK) Nr. 1275/2008 un atceļ Komisijas Regulu (EK) Nr. 642/2009;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Metināšanas aparātiem, saskaņā ar Eiropas Komisijas (ES) 2019. gada 1. oktobra regulu 2019/1784, ar ko nosaka ekodizaina prasības metināšanas aparātiem saskaņā ar Eiropas Parlamenta un Padomes Direktīvu 2009/125/EK;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Putekļsūcējiem, saskaņā ar Eiropas Komisijas (ES) 2013. gada 8. jūlija regulu Nr. 666/2013, ar ko Eiropas Parlamenta un Padomes Direktīvu 2009/125/EK īsteno attiecībā uz ekodizaina prasībām putekļsūcējiem;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Serveriem un datu glabāšanas ražojumiem, saskaņā ar Eiropas Komisijas (ES) 2019. gada 15. marta regulu 2019/424, ar ko nosaka ekodizaina prasības serveriem un datu glabāšanas ražojumiem atbilstīgi Eiropas Parlamenta un Padomes Direktīvai 2009/125/EK un groza Komisijas Regulu (ES) Nr. 617/2013;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Mobilajiem tālruņiem, bezvadu tālruņiem un ievadvirsmas planšetdatoriem, saskaņā ar Eiropas Komisijas (ES) 2023. gada 16. jūnija regulu 2023/1670, ar ko saskaņā ar Eiropas Parlamenta un Padomes Direktīvu 2009/125/EK nosaka ekodizaina prasības viedtālruņiem, mobilajiem tālruņiem, kas nav viedtālruņi, bezvadu tālruņiem un ievadvirsmas planšetdatoriem un groza Komisijas Regulu (ES) 2023/826;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Sadzīves veļas žāvētājiem, saskaņā ar Eiropas Komisijas (ES) 2023. gada 17. novembra regulu 2023/2533, ar ko Eiropas Parlamenta un Padomes Direktīvu 2009/125/EK īsteno attiecībā uz ekodizaina prasībām sadzīves veļas žāvētājiem, groza Komisijas Regulu (ES) 2023/826 un atceļ Komisijas Regulu (ES) Nr. 932/2012;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Precēm, kuru sastāvā ir vieglo pārvietošanās līdzekļu baterijas, saskaņā ar Eiropas Parlamenta un Padomes (ES) 2023. gada 12. jūlija regulu 2023/1542 par baterijām un bateriju atkritumiem, ar ko groza Direktīvu 2008/98/EK un Regulu (ES) 2019/1020 un atceļ Direktīvu 2006/66/EK.";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nodrošinot, ka nedublējas likumprojektā ietvertais likuma 21.</w:t>
            </w:r>
            <w:r w:rsidR="00000000" w:rsidRPr="00000000" w:rsidDel="00000000">
              <w:rPr>
                <w:vertAlign w:val="superscript"/>
                <w:rtl w:val="0"/>
              </w:rPr>
              <w:t xml:space="preserve">8</w:t>
            </w:r>
            <w:r w:rsidR="00000000" w:rsidRPr="00000000" w:rsidDel="00000000">
              <w:rPr>
                <w:rtl w:val="0"/>
              </w:rPr>
              <w:t xml:space="preserve"> panta pirmajā daļā un 21.</w:t>
            </w:r>
            <w:r w:rsidR="00000000" w:rsidRPr="00000000" w:rsidDel="00000000">
              <w:rPr>
                <w:vertAlign w:val="superscript"/>
                <w:rtl w:val="0"/>
              </w:rPr>
              <w:t xml:space="preserve">10</w:t>
            </w:r>
            <w:r w:rsidR="00000000" w:rsidRPr="00000000" w:rsidDel="00000000">
              <w:rPr>
                <w:rtl w:val="0"/>
              </w:rPr>
              <w:t xml:space="preserve"> panta ievaddaļā paredzētais regulējums.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Šā likuma VII2 nodaļā minēto prasību ievērošanas uzraudzību un kontroli īsteno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Patērētāju tiesību aizsardzības centrs ir Latvijas izraudzītais kontaktpunkts (turpmāk – valsts kontaktpunkts) remonta platformas darbībā un komunikācijā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kontaktpunkts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piekļuvi valsts sadaļai, lai remontētāji, un, ja attiecināms, atjaunotu preču pārdevēji, defektīvu atjaunojamu preču pircēji vai sabiedrības virzītas remontēšanas iniciatīvas varētu tajā reģistrēties;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palīdzību Eiropas Komisijai saistībā ar valsts sadaļas darbību remonta platformā.";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atsauci uz likuma VII2 nodaļu, kas likumā nav atrodama arī likumprojekta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Šā likuma VII2 nodaļā minēto prasību ievērošanas uzraudzību un kontroli īsteno Patērētāju tiesību aizsardzības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Patērētāju tiesību aizsardzības centrs ir Latvijas izraudzītais kontaktpunkts (turpmāk – valsts kontaktpunkts) remonta platformas darbībā un komunikācijā ar Eiropas Komisiju.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kontaktpunkts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piekļuvi valsts sadaļai, lai remontētāji, un, ja attiecināms, atjaunotu preču pārdevēji, defektīvu atjaunojamu preču pircēji vai sabiedrības virzītas remontēšanas iniciatīvas varētu tajā reģistrēties;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palīdzību Eiropas Komisijai saistībā ar valsts sadaļas darbību remonta platformā.";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vārdus "Latvijas izraudzītais",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Ja saskaņā ar šā panta pirmo un otro daļu tiek veikts remonts, lai nodrošinātu preces atbilstību līguma noteikumiem, tad atbilstības laikposmu vienu reizi pagarina par vienu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iepriekš likumprojektā norādīts uz pagarināšanu par vienu kalendāro gadu, savukārt korespondējošajās direktīvas vienībās norādīts uz divpadsmit mēnešu termiņu, tādēļ lūdzam izvērtēt un nodrošināt konsekventu laikposmu preces atbilstības līguma noteikumiem nodrošināšanai, likumprojekta anotācijā sniedzot pamatojumu par atbilstību direktīvā paredzētajam laikposmam.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remonta veidlapai noteikto prasību neievērošanu, remontēšanas pienākuma neievērošanu vai noteikto prasību pārkāpšanu un šā likuma 21.8 panta devītās daļas neievērošanu piemēro naudas sodu fiziskajai personai līdz septiņdesmit naudas soda vienībām, bet juridiskajai personai — no sešām līdz divsimt astoņdesmit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pārskatīt normas saturu pēc būtības: administratīvās atbildības nepieciešamību un pieļaujamību, regulējuma atbilstību pārkāpumu definēšanas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ir nepieciešams rūpīgi apsvērt jaunu administratīvu pārkāpumu ietveršanu likumprojektā, izvērtējot administratīvās atbildības pieļaujamības un nepieciešamības kritērijus (sk. Tieslietu ministrijas iebildumu par 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administratīvo pārkāpumu noteikt, neizmantojot iekšējās atsauces (piemēram, "šā likuma 21.</w:t>
            </w:r>
            <w:r w:rsidR="00000000" w:rsidRPr="00000000" w:rsidDel="00000000">
              <w:rPr>
                <w:vertAlign w:val="superscript"/>
                <w:rtl w:val="0"/>
              </w:rPr>
              <w:t xml:space="preserve">8</w:t>
            </w:r>
            <w:r w:rsidR="00000000" w:rsidRPr="00000000" w:rsidDel="00000000">
              <w:rPr>
                <w:rtl w:val="0"/>
              </w:rPr>
              <w:t xml:space="preserve"> panta devītās daļas neievērošanu"). Pārkāpuma pazīmēm jābūt skaidrām bez atsaucēm uz citām tiesību normām. Vispārīgi ir pieļaujamas informatīvas atsauces uz ES regulām, bet arī tad pārkāpuma pazīmēm jābūt skaidrām un pilnīgi noteiktām, ja šo atsauci izņemtu.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nav pieļaujams un atbalstāms administratīvais pārkāpums, kas satur, piemēram, tādu pārkāpuma pazīmi  kā "noteikto prasību neievērošanu" vai "noteikto prasību pārkāpšanu".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veida normas ir blanketas normas, jo tās ietver norādi uz citos normatīvos aktos iekļautajām tiesību normām (priekšrakstiem) (</w:t>
            </w:r>
            <w:r w:rsidR="00000000" w:rsidRPr="00000000" w:rsidDel="00000000">
              <w:rPr>
                <w:i w:val="1"/>
                <w:rtl w:val="0"/>
              </w:rPr>
              <w:t xml:space="preserve">sk. Normatīvo aktu projektu izstrādes rokasgrāmata. Pieejama: https://tai.mk.gov.lv/book/1/chapter/81</w:t>
            </w:r>
            <w:r w:rsidR="00000000" w:rsidRPr="00000000" w:rsidDel="00000000">
              <w:rPr>
                <w:rtl w:val="0"/>
              </w:rPr>
              <w:t xml:space="preserve">). Izmantojot blanketo normu, likumdevējs formulē vispārinātu pazīmi, kas kopā ar citās normās noteikto šīs pazīmes detalizāciju veido pārkāpumu. Tomēr jāievēro, ka arī blanketā norma definē visas pārkāpuma pazīmes, vienīgi daļu no šīm pazīmēm sīkāk konkretizē citas normas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95.-96. lpp.</w:t>
            </w:r>
            <w:r w:rsidR="00000000" w:rsidRPr="00000000" w:rsidDel="00000000">
              <w:rPr>
                <w:rtl w:val="0"/>
              </w:rPr>
              <w:t xml:space="preserve">). Ievērojot minēto, likumprojektā ietvertajam pārkāpuma aprakstam, lai arī ļoti vispārīgi, bet ir jāsatur pārkāpuma pazīmes. Prasība pēc tiesību normas skaidrības ir nostiprināta gan Latvijas Republikas Satversmē, gan Eiropas Padomes Cilvēka tiesību un pamatbrīvību aizsardzības konvencijā, gan Eiropas Cilvēktiesību tiesas un Latvijas Republikas Satversmes tiesas spriedumos. Eiropas Padomes Cilvēka tiesību un pamatbrīvību aizsardzības konvencijas 7. pants vispārējā formā satur principu, ka krimināltiesībās atbildībai par tiesībpārkāpumu un sodam jābūt noteiktiem saskaņā ar likumu (</w:t>
            </w:r>
            <w:r w:rsidR="00000000" w:rsidRPr="00000000" w:rsidDel="00000000">
              <w:rPr>
                <w:i w:val="1"/>
                <w:rtl w:val="0"/>
              </w:rPr>
              <w:t xml:space="preserve">lat. val. – nullum crimen, nulla poena sine lege</w:t>
            </w:r>
            <w:r w:rsidR="00000000" w:rsidRPr="00000000" w:rsidDel="00000000">
              <w:rPr>
                <w:rtl w:val="0"/>
              </w:rPr>
              <w:t xml:space="preserve">). Nostiprinātā prasība tiek atzīta par izpildītu, ja apsūdzētajam ir iespēja no tiesību normas teksta zināt (nepieciešamības gadījumā arī izmantojot interpretāciju, kas ietverta tiesu nolēmumos), par kādu tieši darbību vai bezdarbību noteikta kriminālatbildība. Arī gadījumos, kad personai likumā tiek paredzēta sodoša rakstura administratīvā sankcija, darbojas iepriekš minētais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administratīvo pārkāpumu un par to piemērojamo sodu var noteikt tikai likumdevējs (Saeima). Nav pieļaujama situācija, ka pārkāpuma saturu būtībā noteiktu izpildvara. Tam jāpievērš īpaša uzmanība, ja ir paredzēta administratīvā atbildība par Ministru kabineta noteikumos ietvertu pienākumu neievērošanu. Pilnvarojumam tādā gadījumā jābūt ārkārtīgi precīzam, nosakot skaidras Ministru kabineta rīcības brīvības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Apzināmies iespējamo argumentu, ka līdzīgi veidotas administratīvās atbildības normas ir atrodamas gan grozāmajā likumā, gan, iespējams, citos likumos. Tomēr šāda veida argumenta juridiskā nozīme nav būtiska. Krimināltiesiska (sodoša) rakstura administratīvo sankciju, tostarp administratīvo pārkāpumu un sodu, definēšanas prasības joprojām tiek attīstītas gan Latvijas, gan citu Eiropas valstu tiesību sistēmās. Līdz ar to saprātīgā laika posmā būtu pārskatāma arī citu grozāmajā likumā ietverto administratīvo pārkāpumu atbilstība mūsdienu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remonta veidlapai noteikto prasību neievērošanu, remontēšanas pienākuma neievērošanu vai noteikto prasību pārkāpšanu un šā likuma 21.8 panta devītās daļas neievērošanu piemēro naudas sodu fiziskajai personai līdz septiņdesmit naudas soda vienībām, bet juridiskajai personai — no sešām līdz divsimt astoņdesmit naudas soda vienībām.".;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likuma 21.</w:t>
            </w:r>
            <w:r w:rsidR="00000000" w:rsidRPr="00000000" w:rsidDel="00000000">
              <w:rPr>
                <w:vertAlign w:val="superscript"/>
                <w:rtl w:val="0"/>
              </w:rPr>
              <w:t xml:space="preserve">8</w:t>
            </w:r>
            <w:r w:rsidR="00000000" w:rsidRPr="00000000" w:rsidDel="00000000">
              <w:rPr>
                <w:rtl w:val="0"/>
              </w:rPr>
              <w:t xml:space="preserve"> panta devītā daļa paredz tiesības piedāvāt tādus līguma noteikumus, kas nodrošina augstāku patērētāja tiesību aizsardzību remonta pakalpojumu sniegšanai un saņemšanai, nekā noteikts šajā likumā, tādēļ ir apšaubāms, ka par minētās daļas neievērošanu, proti, savu tiesību neīstenošanu, ir pamatoti piemērot sodus, tādēļ lūdzam izvērtēt un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Likumprojekta anotācijā par katru likumprojekta 6. pantā minēto pārkāpumu nav iekļauts pilnvērtīgs administratīvās atbildības nepieciešamības un pieļaujamības kritēriju izvērtējums, pārkāpuma satura skaidrojums,  kā arī soda veida un apmēra izvēles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Vispirms vēršam uzmanību, ka Eiropas Parlamenta un Padomes 2024. gada 13. jūnija direktīva (ES) 2024/1799 par kopīgiem noteikumiem preču remontēšanas veicināšanai un ar ko groza Regulu (ES) 2017/2394 un Direktīvas (ES) 2019/771 un (ES) 2020/1828 (turpmāk – Direktīva 2024/1799) neparedz obligāti tieši administratīvā soda noteikšanu (sk. Direktīvas 2024/1799 15.pantu). Ņemot vērā minēto, ir jāizvērtē citu sankciju ietveršana likumprojektā.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rūpīgas izvērtēšanas tiks secināts, ka ir nepieciešams paredzēt tieši administratīvu atbildību par likumprojekta 6. pantā minētajiem pārkāpumiem, tad lūdzam likumprojekta anotāciju papildināt ar administratīvās atbildības nepieciešamības un pieļaujamības kritēriju izvērtējumu par katru pantā minēto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noteikt jaunu administratīvās atbildības pamatu, jāizvērtē vismaz šādi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administratīvā akta (procesa) prioritātes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sabiedriskās kārtības mērķa sasniegšanas efektivitāte;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problēmsituācijas attiecināmība uz publiski tiesiskajām attiecībām;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problēmsituācijas bīstamība un kaitīgums;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aizliegums paredzēt administratīvos sodus par administratīvā akta labprātīgu neizpildīšanu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Nozīmīgs rādītājs ir arī problēmsituācijas aktualitāte, proti, vai attiecīgi pārkāpumi faktiski tiek izdarīti pietiekami bieži, lai par to būtu nepieciešams paredzēt administratīvo atbildību, vai esošais regulējums nav novecojis (</w:t>
            </w:r>
            <w:r w:rsidR="00000000" w:rsidRPr="00000000" w:rsidDel="00000000">
              <w:rPr>
                <w:i w:val="1"/>
                <w:rtl w:val="0"/>
              </w:rPr>
              <w:t xml:space="preserve">sal. Informatīvais ziņojums "Nozaru administratīvo pārkāpumu kodifikācijas ieviešanas sistēmas īstenošana", 03.03.2020., 2.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akta (rīkojuma, procesa) prioritātes princips nozīmē to, ka, ja ir nepieciešams panākt, lai persona izpilda noteiktas normatīvo aktu prasības, prioritāte ir administratīvā akta izdošanai, nosakot pienākumu atbilstošā termiņā novērst neatbilstības un izpildīt prasības. Administratīvais sods paredzams tikai tajos gadījumos, kad nepieciešams reaģēt uz kādu personas izdarītu pārkāpumu, kurš vairs nav novēršams un ir ar augstu bīstamības pakāpi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kārtības mērķa sasniegšanas efektivitāte nozīmē, ka ar administratīvās atbildības noteikšanu var sasniegt attiecīgo mērķi (citiem vārdiem, atrisināt konstatēto problēmsituāciju). Šajā aspektā nepieciešams izvērtēt, vai administratīvais sods spēs mazināt konstatēto problēmsituāciju skaitu, apmēru un izplatību sabiedrībā, kā arī vai ar administratīvā pārkāpuma procesā esošajiem līdzekļiem būs iespējams šādas situācijas konstatēt, izmeklēt un pierādīt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55.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regulējums nav paredzēts civiltiesisku strīdu risināšanai. Ja privātpersonai ir iespējams savas aizskartās tiesības aizstāvēt ar civiltiesiskās aizsardzības līdzekļiem, tad par attiecīgu privāttiesiskās attiecības regulējošo normu neievērošanu administratīvā atbildība nav paredzama. Tādējādi pārkāpumam jābūt saistītam ar publiski tiesiskām attiecībām. Ir atsevišķi izņēmuma gadījumi, kad administratīvie sodi tradicionāli tiek piemēroti arī par tādiem pārkāpumiem, kas pēc savas tiesiskās dabas attiecas uz privāttiesiskām attiecībām, piemēram, ja pārkāpuma rezultātā tiek skarts plašs sabiedrības loks (patērētāju tiesības)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56.-57. lpp.</w:t>
            </w:r>
            <w:r w:rsidR="00000000" w:rsidRPr="00000000" w:rsidDel="00000000">
              <w:rPr>
                <w:rtl w:val="0"/>
              </w:rPr>
              <w:t xml:space="preserve">). Tomēr arī, piem., patērētāju tiesību jomā ikviens jauns izņēmums ir rūpīgi izvērtējams un pamatojams.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nepieciešamību noteikt administratīvo atbildību konkrētas problēmsituācijas risināšanai, jākonstatē tās bīstamība vai kaitīgums sabiedrības interesēm. Proti, jāizvērtē, vai iespējamais pārkāpums var aizskart sabiedriskās intereses tādā mērā, ka nepieciešams paredzēt administratīvo atbildību par to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 lpp.</w:t>
            </w:r>
            <w:r w:rsidR="00000000" w:rsidRPr="00000000" w:rsidDel="00000000">
              <w:rPr>
                <w:rtl w:val="0"/>
              </w:rPr>
              <w:t xml:space="preserve">). Šajā aspektā nozīmīga var būt arī administratīvās atbildības un kriminālatbildības norobežošana. Likumdevēja izvēle starp noziedzīgu nodarījumu un administratīvo pārkāpumu nedrīkst būt patvaļīga. Administratīvie pārkāpumi izpaužas kā noteiktas pārvaldības kārtības neievērošana, un tie nav saistīti ar sociālu stigmatizāciju vai publisku kaunu (</w:t>
            </w:r>
            <w:r w:rsidR="00000000" w:rsidRPr="00000000" w:rsidDel="00000000">
              <w:rPr>
                <w:i w:val="1"/>
                <w:rtl w:val="0"/>
              </w:rPr>
              <w:t xml:space="preserve">Smiltēna A. Administratīvās atbildības norobežošanas no kriminālatbildības problemātika. Grām.: Administratīvo pārkāpumu tiesības. Administratīvās atbildības likuma skaidrojumi. Sagatavojis autoru kolektīvs. E. Danovska un G. Kūtra zinātniskajā redakcijā. Rīga: Tiesu namu aģentūra, 2020, 23. lpp.</w:t>
            </w:r>
            <w:r w:rsidR="00000000" w:rsidRPr="00000000" w:rsidDel="00000000">
              <w:rPr>
                <w:rtl w:val="0"/>
              </w:rPr>
              <w:t xml:space="preserve">). Šie pārkāpumi ir vienkārši traucējoši labai pārvaldībai vai sabiedriskajai kārtībai, bet tie neietver sevī kādu īpašu ļaunumu vai pilnīgu sabiedrības vai valsts vērtību ignoranci (</w:t>
            </w:r>
            <w:r w:rsidR="00000000" w:rsidRPr="00000000" w:rsidDel="00000000">
              <w:rPr>
                <w:i w:val="1"/>
                <w:rtl w:val="0"/>
              </w:rPr>
              <w:t xml:space="preserve">Kalniņa V. Administratīvo pārkāpumu tiesību sistēmas reforma – domāšanas reforma. Jurista Vārds, 15.11.2016., Nr. 46</w:t>
            </w:r>
            <w:r w:rsidR="00000000" w:rsidRPr="00000000" w:rsidDel="00000000">
              <w:rPr>
                <w:rtl w:val="0"/>
              </w:rPr>
              <w:t xml:space="preserve">). Citiem vārdiem sakot, ja noziedzīgs nodarījums ir ļaunums pats par sevi, tad administratīvais pārkāpums ir morāli neitrāla rīcība un tā izdarītājs – nevērīga vai bezrūpīga persona (</w:t>
            </w:r>
            <w:r w:rsidR="00000000" w:rsidRPr="00000000" w:rsidDel="00000000">
              <w:rPr>
                <w:i w:val="1"/>
                <w:rtl w:val="0"/>
              </w:rPr>
              <w:t xml:space="preserve">Foundations of European Criminal Law. Norel Neagu (Ed.). Bucureşti: Editura C.H. Beck, 2014, p. 67</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aizliegts paredzēt administratīvos sodus par administratīvā akta labprātīgu neizpildīšanu. Ja lieta ir uzsākta administratīvajā procesā, tad šajā procesā tā arī ir jāpabeidz, ja nepieciešams, izmantojot administratīvā akta piespiedu izpildes līdzekļus (</w:t>
            </w:r>
            <w:r w:rsidR="00000000" w:rsidRPr="00000000" w:rsidDel="00000000">
              <w:rPr>
                <w:i w:val="1"/>
                <w:rtl w:val="0"/>
              </w:rPr>
              <w:t xml:space="preserve">Māliņa I. Jaunu administratīvo pārkāpumu sastāvu veidošana. Grām.: Administratīvo pārkāpumu tiesības. Administratīvās atbildības likuma skaidrojumi. Sagatavojis autoru kolektīvs. E. Danovska un G. Kūtra zinātniskajā redakcijā. Rīga: Tiesu namu aģentūra, 2020, 57.-58.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likumprojekta anotācijā iekļaut soda veida un apmēra izvēles pamatojumu. Viens no soda samērīguma un soda veida un apmēra izvēles pamatkritērijiem ir pārkāpuma smagums un tā iespējamās sekas (</w:t>
            </w:r>
            <w:r w:rsidR="00000000" w:rsidRPr="00000000" w:rsidDel="00000000">
              <w:rPr>
                <w:i w:val="1"/>
                <w:rtl w:val="0"/>
              </w:rPr>
              <w:t xml:space="preserve">Cafaggi F., Iamiceli P. The Principles of Effectiveness, Proportionality and Dissuasiveness in the Enforcement of EU Consumer Law: The Impact of a Triad on the Choice of Civil Remedies and Administrative Sanctions. European Review of Private Law, 2017, Vol. 25, Iss. 3, p. 599</w:t>
            </w:r>
            <w:r w:rsidR="00000000" w:rsidRPr="00000000" w:rsidDel="00000000">
              <w:rPr>
                <w:rtl w:val="0"/>
              </w:rPr>
              <w:t xml:space="preserve">). Lai to izvērtētu, citstarp nozīmīgs ir ar attiecīgajām tiesību normām aizsargātā tiesiskā labuma (interešu) svarīgums un pārkāpuma sabiedriskais nosodījums (</w:t>
            </w:r>
            <w:r w:rsidR="00000000" w:rsidRPr="00000000" w:rsidDel="00000000">
              <w:rPr>
                <w:i w:val="1"/>
                <w:rtl w:val="0"/>
              </w:rPr>
              <w:t xml:space="preserve">Ģenerāladvokāta Damaso Ruisa-Harabo Kolomera 2005. gada 26. maija secinājumu lietā C-176/03 46. punkts</w:t>
            </w:r>
            <w:r w:rsidR="00000000" w:rsidRPr="00000000" w:rsidDel="00000000">
              <w:rPr>
                <w:rtl w:val="0"/>
              </w:rPr>
              <w:t xml:space="preserve">). Protams, šie kritēriji neļauj precīzi noteikt (aprēķināt) pārkāpumam atbilstošu soda veidu vai apmēru, tie vairāk vērtējoši raksturo pārkāpumu salīdzinājumā ar citiem pārkāpumiem (</w:t>
            </w:r>
            <w:r w:rsidR="00000000" w:rsidRPr="00000000" w:rsidDel="00000000">
              <w:rPr>
                <w:i w:val="1"/>
                <w:rtl w:val="0"/>
              </w:rPr>
              <w:t xml:space="preserve">Evaluation Study on the Implementation of Directive 2008/99/EC on the Protection of the Environment through Criminal Law by Member States. Brussels: 2014, p. 81</w:t>
            </w:r>
            <w:r w:rsidR="00000000" w:rsidRPr="00000000" w:rsidDel="00000000">
              <w:rPr>
                <w:rtl w:val="0"/>
              </w:rPr>
              <w:t xml:space="preserve">). Soda samērīgumu ietekmē arī citi kritēriji, piemēram, pārkāpuma rezultātā iespējamais iegūtais labums (ekonomiskais izdevīgums), kā arī tas, vai sods nerada pārmērīgu apgrūtinājumu personai, kurai tas tiek piemērots.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saglabāta administratīvā atbildība kā vienota sistēma, iespējami jānodrošina sabalansēta sodu bardzība par līdzīga smaguma pārkāpumiem (</w:t>
            </w:r>
            <w:r w:rsidR="00000000" w:rsidRPr="00000000" w:rsidDel="00000000">
              <w:rPr>
                <w:i w:val="1"/>
                <w:rtl w:val="0"/>
              </w:rPr>
              <w:t xml:space="preserve">Kūtris G. Administratīvās atbildības reforma: būtiskākie jauninājumi. Jurista Vārds, 17.12.2019., Nr. 50/51/52</w:t>
            </w:r>
            <w:r w:rsidR="00000000" w:rsidRPr="00000000" w:rsidDel="00000000">
              <w:rPr>
                <w:rtl w:val="0"/>
              </w:rPr>
              <w:t xml:space="preserve">). Salīdzinoši liela nozīme piešķirama tieši pārkāpumu, kas saistīti ar līdzvērtīgu tiesisko interešu aizsardzību, salīdzinājumam.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Atsevišķi pamatojams soda minimālais un maksimālais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5.4. apakšsadaļas 1. tabulā ietverto informāciju par Direktīvas 2024/1799 2. panta 6.-8., 10. punkta, 6. panta pārņemšanu, 7. panta 5. punkta, 14. panta 1. un 2. punkta, kas "B" ailē atspoguļota acīmredzami nekorekti. Papildus lūdzam skaidrot arī minētās direktīvas 9. panta 2. un 3. punkta, kā arī 4. punkta "b" apakšpunkta, 11.-13. panta, 16. panta 4. punkta otrās un trešās daļas pārņemšanu nacionālajā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ka Direktīvas 2024/1799 7. panta 3.,4. punktā (attiecas vienīgi uz dalībvalstīm, kurām ir vismaz viena publiska vai privāta valsts tiešsaistes platforma, kas aptver visu to teritoriju un atbilst konkrētā panta 6. punktā izklāstītajiem noteikumiem) un 16. panta 2. punktā paredzēta rīcības brīvība, lūdzam papildināt likumprojekta anotācijas 5.4. sadaļu, papildinot aili (sniedzot pamatojumu) par dalībvalsts rīcības brīvības izmantošanu, norādot konkrētās direktīvas normas, kas paredz rīcības brīvību, kādā veidā minētā rīcības brīvība ir izmantota likumprojektā, un to, kādēļ ir vai nav izmantota direktīvā paredzētā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ar 26., 27., 28., 29., 30. un 31. punktu šādā redakcijā: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likumprojekta 1. panta punktu numerāciju, ņemot vērā, ka spēkā esošā likuma 1. pantā ir ietverti astoņpadsmit punkti.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 remontētājs - jebkura fiziskā vai juridiskā persona, pārdevēji vai ražotāji, kas savas saimnieciskās vai profesionālās darbības ietvaros sniedz pakalpojumu patērētājam, arī izmantojot citu personu starpniecību, kuras rīkojas tā vārdā vai uzdevumā, sniedz remonta pakalpojumus, kā arī no ražotāja neatkarīgi remonta pakalpojumu sniedzēji un tādi remonta pakalpojumu sniedzēji, kas ir saistīti ar ražotāju vai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remontējamības prasības – Eiropas Savienības tiesību aktos noteiktās remontējamības prasības atsevišķām preču un preču ar digitāliem elementiem grupām, prasības attiecībā uz rezerves daļu pieejamību, ar remontu saistīto informāciju, ar remontu saistītajiem rīkiem, kā arī prasības, kas atvieglo preču vai preču ar digitāliem elementiem izjaukšanu un remontu.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remonts - Eiropas Parlamenta un Padomes (ES) 2024. gada 13. jūnija regulas 2024/1781, ar ko izveido satvaru ekodizaina prasību noteikšanai ilgtspējīgiem produktiem, groza Direktīvu (ES) 2020/1828 un Regulu (ES) 2023/1542 un atceļ Direktīvu 2009/125/EK (turpmāk - Regula 2024/1781) 2. panta 20) punktā minētais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remonta platforma – Eiropas tiešsaistes platforma remontam, kurā patērētāji var atrast remontētājus, kā arī atjaunotu preču pārdevējus, defektīvu preču pircējus, vai sabiedrības virzītas remontēšanas iniciatīvas kā remonta kafejnīcas, ja tādas ir reģistrējušās remonta platformā. Remonta platformu veido Eiropas Savienības valstu sadaļas, kas izmanto kopīgu Eiropas Komisijas izveidotu tiešsaistes saskarni, kurā pievienotas hipersaites uz Eiropas Savienības valstu sadaļām, kuras ir pieejamas visās Eiropas Savienības oficiālajās valodās;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pilnvarotais pārstāvis - Regulas 2024/1781 2. panta 43) punktā minētais pilnvarotais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izplatītājs - Regulas 2024/1781 2. panta 45) punktā minētais izplatītājs;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atjaunošana - Regulas 2024/1781 2. panta 18) punktā minētā pārjaunošana.";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atsauces uz regulas vienībām. Līdzigi aicinām precizēt citas likumprojekta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remontētājs - jebkura fiziskā vai juridiskā persona, pārdevēji vai ražotāji, kas savas saimnieciskās vai profesionālās darbības ietvaros sniedz pakalpojumu patērētājam, arī izmantojot citu personu starpniecību, kuras rīkojas tā vārdā vai uzdevumā, sniedz remonta pakalpojumus, kā arī no ražotāja neatkarīgi remonta pakalpojumu sniedzēji un tādi remonta pakalpojumu sniedzēji, kas ir saistīti ar ražotāju vai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remontējamības prasības – Eiropas Savienības tiesību aktos noteiktās remontējamības prasības atsevišķām preču un preču ar digitāliem elementiem grupām, prasības attiecībā uz rezerves daļu pieejamību, ar remontu saistīto informāciju, ar remontu saistītajiem rīkiem, kā arī prasības, kas atvieglo preču vai preču ar digitāliem elementiem izjaukšanu un remontu.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remonts - Eiropas Parlamenta un Padomes (ES) 2024. gada 13. jūnija regulas 2024/1781, ar ko izveido satvaru ekodizaina prasību noteikšanai ilgtspējīgiem produktiem, groza Direktīvu (ES) 2020/1828 un Regulu (ES) 2023/1542 un atceļ Direktīvu 2009/125/EK (turpmāk - Regula 2024/1781) 2. panta 20. punktā minētais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remonta platforma – Eiropas tiešsaistes platforma remontam, kurā patērētāji var atrast remontētājus, kā arī atjaunotu preču pārdevējus, defektīvu preču pircējus, vai sabiedrības virzītas remontēšanas iniciatīvas kā remonta kafejnīcas, ja tādas ir reģistrējušās remonta platformā. Remonta platformu veido Eiropas Savienības valstu sadaļas, kas izmanto kopīgu Eiropas Komisijas izveidotu tiešsaistes saskarni, kurā pievienotas hipersaites uz Eiropas Savienības valstu sadaļām, kuras ir pieejamas visās Eiropas Savienības oficiālajās valodās;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pilnvarotais pārstāvis - Regulas 2024/1781 2. panta 43. punktā minētais pilnvarotais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izplatītājs - Regulas 2024/1781 2. panta 45. punktā minētais izplatītājs;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atjaunošana - Regulas 2024/1781 2. panta 18. punktā minētā pārjaunošana.";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"26) remontētājs - jebkura fiziskā vai juridiskā persona, pārdevēji vai ražotāji, kas savas saimnieciskās vai profesionālās darbības ietvaros sniedz pakalpojumu patērētājam, arī izmantojot citu personu starpniecību, kuras rīkojas tā vārdā vai uzdevumā, sniedz remonta pakalpojumus, kā arī no ražotāja neatkarīgi remonta pakalpojumu sniedzēji un tādi remonta pakalpojumu sniedzēji, kas ir saistīti ar ražotāju vai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remontējamības prasības – Eiropas Savienības tiesību aktos noteiktās remontējamības prasības atsevišķām preču un preču ar digitāliem elementiem grupām, prasības attiecībā uz rezerves daļu pieejamību, ar remontu saistīto informāciju, ar remontu saistītajiem rīkiem, kā arī prasības, kas atvieglo preču vai preču ar digitāliem elementiem izjaukšanu un remontu.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remonts - Eiropas Parlamenta un Padomes (ES) 2024. gada 13. jūnija regulas 2024/1781, ar ko izveido satvaru ekodizaina prasību noteikšanai ilgtspējīgiem produktiem, groza Direktīvu (ES) 2020/1828 un Regulu (ES) 2023/1542 un atceļ Direktīvu 2009/125/EK (turpmāk - Regula 2024/1781) 2. panta 20) punktā minētais remonts;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remonta platforma – Eiropas tiešsaistes platforma remontam, kurā patērētāji var atrast remontētājus, kā arī atjaunotu preču pārdevējus, defektīvu preču pircējus, vai sabiedrības virzītas remontēšanas iniciatīvas kā remonta kafejnīcas, ja tādas ir reģistrējušās remonta platformā. Remonta platformu veido Eiropas Savienības valstu sadaļas, kas izmanto kopīgu Eiropas Komisijas izveidotu tiešsaistes saskarni, kurā pievienotas hipersaites uz Eiropas Savienības valstu sadaļām, kuras ir pieejamas visās Eiropas Savienības oficiālajās valodās;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pilnvarotais pārstāvis - Regulas 2024/1781 2. panta 43) punktā minētais pilnvarotais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izplatītājs - Regulas 2024/1781 2. panta 45) punktā minētais izplatītājs;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atjaunošana - Regulas 2024/1781 2. panta 18) punktā minētā pārjaunošana.";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termina "remontētājs" skaidrojumu, izslēdzot vārdus "sniedz pakalpojumu patērētājam" vai konkretizējot, kādi pakalpojumi šeit ir domāti. Papildus lūdzam norādīt arī uz no pārdevējiem neatkarīgiem remonta pakalpojuma sniedzējiem atbilstoši korespondējošajā direktīvas normā noteiktajam.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ir norādītajā daudzumā un tai piemīt īpašības un izpildījums, tai skaitā attiecībā uz ilgizturību, remontējamību, funkcionalitāti, saderību un drošību, kāds parasti piemīt tāda paša veida precēm un kādu patērētājs var pamatoti gaidīt, ņemot vērā preces raksturu un pārdevēja, pakalpojuma sniedzēja vai citu piegādes ķēdē iesaistīto saimnieciskās darbības veicēju publiskos, īpaši reklāmā vai preces marķējumā sniegtos,  paziņojumus.";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atbilstoši korespondējošajai direktīvas normai norādīt uz pārdevēja, pakalpojuma sniedzēja vai citu piegādes ķēdē iesaistīto saimnieciskās darbības veicēju vārdā sniegtiem publiskiem paziņojumiem, kā arī aicinām tiesiskās noteiktības nolūkā norādīt kā piemēru arī ražotāju. Alternatīvi lūdzam sniegt pamatotu skaidrojumu, kādēļ tas nav nepieciešams.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6</w:t>
            </w:r>
            <w:r w:rsidR="00000000" w:rsidRPr="00000000" w:rsidDel="00000000">
              <w:rPr>
                <w:rtl w:val="0"/>
              </w:rPr>
              <w:t xml:space="preserve"> pants. Eiropas remonta informācijas veidlapa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remontētāji var izsniegt Eiropas remonta informācijas veidlapu (turpmāk – remonta veidlapa), kuru izsniedz tādā gadījumā, ja remontētājs ir izvēlējies to sagatavot un nodrošināt izsniegšanai patērētājiem.  Remonta veidlapu izsniedz saprātīgā laika posmā, izmantojot pastāvīgu informācijas nesēju, pirms patērētājam kļūst saistošs līgums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Remonta veidlapa tiek izsniegta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nosacījums var netikt attiecināms uz gadījumiem, ja ir nepieciešams veikt fizisku vai attālinātu diagnostiku, lai noteiktu defekta vai nepieciešamā remonta veidu un provizoriskās remonta izmaksas. Tādā gadījumā remontētājs var pieprasīt patērētājam segt diagnostikas pakalpojuma cenu, par to informējot patērētāju, pirms tas ir piekritis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Remontētājs negroza remonta veidlapā norādītos remonta nosacījumus 30 kalendārās dienas no tās dienas, kad remonta veidlapa tikusi izsniegta patērētājam. Ja patērētājs remonta veidlapas derīguma termiņa laikā piekrīt tajā izklāstītajiem nosacījumiem, remontētājam ir pienākums sniegt attiecīgo remonta pakalpojumu saskaņā ar minētajiem nosacījumiem. Remontētājs un patērētājs var vienoties arī par garāku remonta veidlapas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remontētājs ir izsniedzis patērētājam atbilstoši normatīvajiem aktiem aizpildītu remonta veidlapu, tas ir izpildījis noteiktās prasības attiecībā uz patērētāja informēšanu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attiecīgās preces remonta pakalpojuma galvenajām iezīmēm atbilstošā apjomā, ja tas nepārprotami neizriet no konteksta;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 identitāti, tajā skaitā nosaukumu (firmu), juridisko adresi, tālruņa numuru vai elektroniskā pasta adresi, lai patērētājam nodrošinātu iespēju tiešā un ātrā veidā sazināties ar remontētāju;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remonta pakalpojuma cenu, ieskaitot nodokļus un nodevas, ja šādas izmaksas remontētājs ir iepriekš noteicis. Ja remonta pakalpojuma cenu pamatoti nevar aprēķināt iepriekš, norāda cenas aprēķināšanas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maksāšanas, remonta pakalpojuma izpildes noteikumiem un tā sniegšanas termiņu, kā arī sūdzību izskatīšanas kārtību, ja tas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Remonta veidlapas paraugu, tajā iekļaujamo informāciju un prasības par patērētāja informēšanu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Patērētāju tiesību aizsardzības likuma 21.</w:t>
            </w:r>
            <w:r w:rsidR="00000000" w:rsidRPr="00000000" w:rsidDel="00000000">
              <w:rPr>
                <w:vertAlign w:val="superscript"/>
                <w:rtl w:val="0"/>
              </w:rPr>
              <w:t xml:space="preserve">6</w:t>
            </w:r>
            <w:r w:rsidR="00000000" w:rsidRPr="00000000" w:rsidDel="00000000">
              <w:rPr>
                <w:rtl w:val="0"/>
              </w:rPr>
              <w:t xml:space="preserve"> 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otro daļu nepiemēro, ja ir nepieciešams veikt fizisku vai attālinātu diagnostiku, lai noteiktu defekta vai nepieciešamā remonta veidu un provizoriskās remonta izmaksas. Attiecīgā gadījumā remontētājs var pieprasīt patērētājam segt diagnostikas pakalpojuma cenu, par to informējot patērētāju, pirms tas ir piekritis pakalpojuma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6</w:t>
            </w:r>
            <w:r w:rsidR="00000000" w:rsidRPr="00000000" w:rsidDel="00000000">
              <w:rPr>
                <w:rtl w:val="0"/>
              </w:rPr>
              <w:t xml:space="preserve"> pants. Eiropas remonta informācijas veidlapa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remontētāji var izsniegt Eiropas remonta informācijas veidlapu (turpmāk – remonta veidlapa), kuru izsniedz tādā gadījumā, ja remontētājs ir izvēlējies to sagatavot un nodrošināt izsniegšanai patērētājiem.  Remonta veidlapu izsniedz saprātīgā laika posmā, izmantojot pastāvīgu informācijas nesēju, pirms patērētājam kļūst saistošs līgums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Remonta veidlapa tiek izsniegta bez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nosacījums var netikt attiecināms uz gadījumiem, ja ir nepieciešams veikt fizisku vai attālinātu diagnostiku, lai noteiktu defekta vai nepieciešamā remonta veidu un provizoriskās remonta izmaksas. Tādā gadījumā remontētājs var pieprasīt patērētājam segt diagnostikas pakalpojuma cenu, par to informējot patērētāju, pirms tas ir piekritis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Remontētājs negroza remonta veidlapā norādītos remonta nosacījumus 30 kalendārās dienas no tās dienas, kad remonta veidlapa tikusi izsniegta patērētājam. Ja patērētājs remonta veidlapas derīguma termiņa laikā piekrīt tajā izklāstītajiem nosacījumiem, remontētājam ir pienākums sniegt attiecīgo remonta pakalpojumu saskaņā ar minētajiem nosacījumiem. Remontētājs un patērētājs var vienoties arī par garāku remonta veidlapas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remontētājs ir izsniedzis patērētājam atbilstoši normatīvajiem aktiem aizpildītu remonta veidlapu, tas ir izpildījis noteiktās prasības attiecībā uz patērētāja informēšanu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attiecīgās preces remonta pakalpojuma galvenajām iezīmēm atbilstošā apjomā, ja tas nepārprotami neizriet no konteksta;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savu identitāti, tajā skaitā nosaukumu (firmu), juridisko adresi, tālruņa numuru vai elektroniskā pasta adresi, lai patērētājam nodrošinātu iespēju tiešā un ātrā veidā sazināties ar remontētāju;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remonta pakalpojuma cenu, ieskaitot nodokļus un nodevas, ja šādas izmaksas remontētājs ir iepriekš noteicis. Ja remonta pakalpojuma cenu pamatoti nevar aprēķināt iepriekš, norāda cenas aprēķināšanas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maksāšanas, remonta pakalpojuma izpildes noteikumiem un tā sniegšanas termiņu, kā arī sūdzību izskatīšanas kārtību, ja tas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Remonta veidlapas paraugu, tajā iekļaujamo informāciju un prasības par patērētāja informēšanu nosaka Ministru kabinets.";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pēc vārdiem "saprātīgā laika posmā" ar vārdiem "pēc pieprasījuma" atbilstoši korespondējošajai direktīvas normai, tādējādi nodrošinot nepārprotamu attiecīgās likumprojekta normas izteiksmi. Līdzīgi lūdzam precizēt likumprojekta 5. pantu, norādot atskaites punktu termiņam remonta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8 </w:t>
            </w:r>
            <w:r w:rsidR="00000000" w:rsidRPr="00000000" w:rsidDel="00000000">
              <w:rPr>
                <w:rtl w:val="0"/>
              </w:rPr>
              <w:t xml:space="preserve">pants.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ražotājs nodrošina to preču vai preču ar digitāliem elementiem remontu, attiecībā uz kurām ir paredzētas remontējamības prasības. Lai nodrošinātu remontēšanu, ražotājs var noslēgt apakšlīgumu ar citu remonta pakalpojumu sniedzēju. Ražotājam nav pienākums remontēt tādas preces, kuras nav iespējams saremontēt.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Preces vai preces ar digitāliem elementiem remontu veic saskaņā ar šā panta pirmo daļu,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remontu veic vai nu bez maksas vai par saprātīgu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remontu veic saprātīgā laika posmā no brīža, kad prece vai prece ar digitāliem elementiem ir ražotāja faktiskajā valdījumā un viņš ir to saņēmis, vai patērētājs ir nodrošinājis tai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ražotājs var bez maksas vai par saprātīgu cenu piedāvāt un patapināt patērētājam līdzvērtīgu preci uz remonta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gadījumos, kad remonts nav iespējams, ražotājs var piedāvāt patērētājam atjaunotu preci.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ražotāja, kam, ievērojot šā panta pirmo daļu, ir pienākums nodrošināt remonta pakalpojumu,  saimnieciskā darbība ir reģistrēta ārpus Eiropas Savienības, minētos pienākumus pilda tā pilnvarotais pārstāvis Eiropas Savienībā. Ja ražotājam nav pilnvarotā pārstāvja Eiropas Savienībā, tā pienākumus pilda attiecīgās preces importētājs, savukārt, ja nav importētāja - attiecīgās preces vai preces ar digitāliem elementiem izplatītājs. Lai izpildītu remontēšanas pienākumu, pilnvarotais pārstāvis, importētājs vai izplatītājs var noslēgt apakšlīgumu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Ražotāji precēm un precēm ar digitāliem elementiem, uz kurām attiecas remontējamības prasības, par saprātīgu cenu dara pieejamas un piedāvā rezerves daļas un atbilstošus rīkus, kas nepieciešami to remontam, tā veicinot preču vai preču ar digitāliem elementiem remontēšanu.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Ražotāji vai, attiecīgā gadījumā, pilnvarotie pārstāvji, importētāji vai izplatītāji, kuriem ir remontēšanas pienākums, nodrošina, ka patērētāji, izmantojot brīvpiekļuves tīmekļvietni, ja tāda ir, var iegūt informāciju par paredzamo remonta cenu noteikto preču vai preču ar digitāliem elementiem remontiem, kas visbiežāk tiek veikti attiecībā uz konkrēto preci. Minēto informāciju par remonta pakalpojumiem dara pieejamu bez maksas skaidrā, saprotamā un viegli piekļūstamā veidā vismaz uz to laiku, kamēr ir noteikts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Pirkuma līgumos attiecībā uz precēm un precēm ar digitāliem elementiem, kurām ir noteiktas remontēšanas prasības, neiekļauj nekādus papildus vai īpašus nosacījumus, kā arī kādas aparatūras vai programmatūras metodes attiecībā uz remontu, ja vien šīs metodes ir attaisnojamas ar objektīviem un leģitīmiem faktoriem, tostarp intelektuālā īpašuma tiesību aizsardzība atbilstoši Eiropas Savienības un nacionālajiem tiesību aktiem. Ražotāji neaizliedz neatkarīgiem remontētājiem pielietot oriģinālas vai lietotas rezerves daļas, savietojamas un ar 3D druku izgatavotas rezerves daļas, ja tās atbilst Eiropas Savienības vai nacionālajām prasībām, piemēram, attiecībā uz intelektuālā īpašuma aizsardzības un preču drošuma prasībām. Šis punkts neattiecas uz preču un preču ar digitāliem elementiem, kurām ir noteiktas remontēšanas prasības, attiecināmajām specifiskajām prasībām un neskar Eiropas Savienības un nacionālos tiesību aktus attiecībā uz intelektuālā īpašuma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Preču vai preču ar digitāliem elementiem, kam noteiktas remontēšanas prasības, remonts, tiek nodrošināts arī gadījumos, ja kādu iepriekšēju remontu ir veikuši citi remontētāji vai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Šajā pantā noteiktais remontēšanas pienākums neskar patērētāja tiesības pieprasīt remontu no jebkura viņa izvēlēta remontētāja.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Pirms līguma noslēgšanas, remontētāji ir tiesīgi piedāvāt tādus līguma noteikumus, kas nodrošina augstāku patērētāja tiesību aizsardzību remonta pakalpojumu sniegšanai un saņemšanai, nekā noteikts šajā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un norādi "kamēr ir noteikts remontēšanas pienākums" aizstāt ar norādi  "kamēr tiem ir remontēšanas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8 </w:t>
            </w:r>
            <w:r w:rsidR="00000000" w:rsidRPr="00000000" w:rsidDel="00000000">
              <w:rPr>
                <w:rtl w:val="0"/>
              </w:rPr>
              <w:t xml:space="preserve">pants.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patērētāja pieprasījuma ražotājs nodrošina to preču vai preču ar digitāliem elementiem remontu, attiecībā uz kurām ir paredzētas remontējamības prasības. Lai nodrošinātu remontēšanu, ražotājs var noslēgt apakšlīgumu ar citu remonta pakalpojumu sniedzēju. Ražotājam nav pienākums remontēt tādas preces, kuras nav iespējams saremontēt.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Preces vai preces ar digitāliem elementiem remontu veic saskaņā ar šā panta pirmo daļu, ievērojot šādus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remontu veic vai nu bez maksas vai par saprātīgu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remontu veic saprātīgā laika posmā no brīža, kad prece vai prece ar digitāliem elementiem ir ražotāja faktiskajā valdījumā un viņš ir to saņēmis, vai patērētājs ir nodrošinājis tai piekļuvi;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ražotājs var bez maksas vai par saprātīgu cenu piedāvāt un patapināt patērētājam līdzvērtīgu preci uz remonta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gadījumos, kad remonts nav iespējams, ražotājs var piedāvāt patērētājam atjaunotu preci.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ražotāja, kam, ievērojot šā panta pirmo daļu, ir pienākums nodrošināt remonta pakalpojumu,  saimnieciskā darbība ir reģistrēta ārpus Eiropas Savienības, minētos pienākumus pilda tā pilnvarotais pārstāvis Eiropas Savienībā. Ja ražotājam nav pilnvarotā pārstāvja Eiropas Savienībā, tā pienākumus pilda attiecīgās preces importētājs, savukārt, ja nav importētāja - attiecīgās preces vai preces ar digitāliem elementiem izplatītājs. Lai izpildītu remontēšanas pienākumu, pilnvarotais pārstāvis, importētājs vai izplatītājs var noslēgt apakšlīgumu par remonta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Ražotāji precēm un precēm ar digitāliem elementiem, uz kurām attiecas remontējamības prasības, par saprātīgu cenu dara pieejamas un piedāvā rezerves daļas un atbilstošus rīkus, kas nepieciešami to remontam, tā veicinot preču vai preču ar digitāliem elementiem remontēšanu.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Ražotāji vai, attiecīgā gadījumā, pilnvarotie pārstāvji, importētāji vai izplatītāji, kuriem ir remontēšanas pienākums, nodrošina, ka patērētāji, izmantojot brīvpiekļuves tīmekļvietni, ja tāda ir, var iegūt informāciju par paredzamo remonta cenu noteikto preču vai preču ar digitāliem elementiem remontiem, kas visbiežāk tiek veikti attiecībā uz konkrēto preci. Minēto informāciju par remonta pakalpojumiem dara pieejamu bez maksas skaidrā, saprotamā un viegli piekļūstamā veidā vismaz uz to laiku, kamēr ir noteikts remontēšanas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Pirkuma līgumos attiecībā uz precēm un precēm ar digitāliem elementiem, kurām ir noteiktas remontēšanas prasības, neiekļauj nekādus papildus vai īpašus nosacījumus, kā arī kādas aparatūras vai programmatūras metodes attiecībā uz remontu, ja vien šīs metodes ir attaisnojamas ar objektīviem un leģitīmiem faktoriem, tostarp intelektuālā īpašuma tiesību aizsardzība atbilstoši Eiropas Savienības un nacionālajiem tiesību aktiem. Ražotāji neaizliedz neatkarīgiem remontētājiem pielietot oriģinālas vai lietotas rezerves daļas, savietojamas un ar 3D druku izgatavotas rezerves daļas, ja tās atbilst Eiropas Savienības vai nacionālajām prasībām, piemēram, attiecībā uz intelektuālā īpašuma aizsardzības un preču drošuma prasībām. Šis punkts neattiecas uz preču un preču ar digitāliem elementiem, kurām ir noteiktas remontēšanas prasības, attiecināmajām specifiskajām prasībām un neskar Eiropas Savienības un nacionālos tiesību aktus attiecībā uz intelektuālā īpašuma tiesību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Preču vai preču ar digitāliem elementiem, kam noteiktas remontēšanas prasības, remonts, tiek nodrošināts arī gadījumos, ja kādu iepriekšēju remontu ir veikuši citi remontētāji vai citas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Šajā pantā noteiktais remontēšanas pienākums neskar patērētāja tiesības pieprasīt remontu no jebkura viņa izvēlēta remontētāja.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Pirms līguma noslēgšanas, remontētāji ir tiesīgi piedāvāt tādus līguma noteikumus, kas nodrošina augstāku patērētāja tiesību aizsardzību remonta pakalpojumu sniegšanai un saņemšanai, nekā noteikts šajā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norādi, ka saimnieciskā darbība ir reģistrēta ārpus Eiropas Savienības, aizstāt ar norādi, ka ražotājs ir reģistrēts valstī, kas nav Eiropas Savienības dalībvalsts atbilstoši korespondējošajā direktīvas vienībā noteiktajam. Papildus aicinām izvērtēt norādes "ja tāda ir" (t.i., brīvpiekļuves tīmekļvietne) pamatotību, jo korespondējošā direktīvas norma pirmšķietami neparedz izņēmumus no attiecīgās tīmekļvietnes izmantošanas.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"21.</w:t>
            </w:r>
            <w:r w:rsidR="00000000" w:rsidRPr="00000000" w:rsidDel="00000000">
              <w:rPr>
                <w:vertAlign w:val="superscript"/>
                <w:rtl w:val="0"/>
              </w:rPr>
              <w:t xml:space="preserve">9</w:t>
            </w:r>
            <w:r w:rsidR="00000000" w:rsidRPr="00000000" w:rsidDel="00000000">
              <w:rPr>
                <w:rtl w:val="0"/>
              </w:rPr>
              <w:t xml:space="preserve"> Informēšanas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patērētājam tiek nodrošināts tiesiskās aizsardzības līdzeklis saskaņā ar šā likuma 28. pantu pret līguma noteikumiem neatbilstošu preci vai preci ar digitāliem elementiem, patērētājs tiek informēts par tā tiesībām izvēlēties preces vai preces ar digitāliem elementiem remontu vai nomaiņu, kā arī par 28. panta (2)1 daļā minēto atbilstības laikposma iespējamo pagarināšanu par vienu kalendāro gadu, ja tiek izvēlēts preces vai preces ar digitāliem elementiem remonts.";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izslēgt vārdu "iespējamo", ņemot vērā, ka gadījumā, ja tiek izvēlēts preces vai preces ar digitāliem elementiem remonts, attiecīgā pagarināšana nav izvēle, bet gan pienākums.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w:t>
            </w:r>
            <w:r w:rsidR="00000000" w:rsidRPr="00000000" w:rsidDel="00000000">
              <w:rPr>
                <w:vertAlign w:val="superscript"/>
                <w:rtl w:val="0"/>
              </w:rPr>
              <w:t xml:space="preserve">1</w:t>
            </w:r>
            <w:r w:rsidR="00000000" w:rsidRPr="00000000" w:rsidDel="00000000">
              <w:rPr>
                <w:rtl w:val="0"/>
              </w:rPr>
              <w:t xml:space="preserve"> Ja saskaņā ar šā panta pirmo un otro daļu tiek veikts remonts, lai nodrošinātu preces atbilstību līguma noteikumiem, tad atbilstības laikposmu vienu reizi pagarina par vienu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(nepieciešamības gadījumā arī cituviet) norādīt arī uz precēm ar digitālajiem elementiem, nodrošinot konsekventu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Remontu veic bez maksas, saprātīgā laikposmā un neradot būtiskas neērtības patērētājam.”.;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tiesiskās noteiktības nolūkā papildināt ar vārdiem "ņemot vērā preču veidu un nolūku, kādam patērētājs preces ir pieprasījis", ievērojot korespondējošajā direktīvas normā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nedublēt informāciju par attiecīgās Direktīvas 2024/1799 15. panta pārņemšanu likumprojekta 6. pantā, kā arī lūdzam precizēt informāciju par minētās direktīvas prasību pārņemšanu likuma 37. panta xx daļā, jo likumā nav šādas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25-TA-1352</w:t>
    </w:r>
    <w:r>
      <w:br/>
    </w:r>
    <w:r w:rsidR="00000000" w:rsidRPr="00000000" w:rsidDel="00000000">
      <w:rPr>
        <w:rtl w:val="0"/>
      </w:rPr>
      <w:t xml:space="preserve">Izdrukāts 21.10.2025. 14.31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25-TA-1352</w:t>
    </w:r>
    <w:r>
      <w:br/>
    </w:r>
    <w:r w:rsidR="00000000" w:rsidRPr="00000000" w:rsidDel="00000000">
      <w:rPr>
        <w:rtl w:val="0"/>
      </w:rPr>
      <w:t xml:space="preserve">Izdrukāts 21.10.2025. 14.31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Atzinumi_25-TA-1352.docx</dc:title>
</cp:coreProperties>
</file>

<file path=docProps/custom.xml><?xml version="1.0" encoding="utf-8"?>
<Properties xmlns="http://schemas.openxmlformats.org/officeDocument/2006/custom-properties" xmlns:vt="http://schemas.openxmlformats.org/officeDocument/2006/docPropsVTypes"/>
</file>