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23-TA-1986: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Transporta enerģijas siltumnīcefekta gāzu emisiju intensitātes samazināšanas un modernizēšanas pienākuma izpildes aprēķināšanas noteikumi un vispārīgās ziņošanas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vai tiesību akta projekts ir attiecināms uz visiem uzņēmumiem. Projektā ir minētas vairākas komersantu grupas: degvielas piegādātāji, elektroenerģijas piegādātāji, kā arī komersanti, kas nav degvielas piegādātāji, bet var piedāvāt transporta enerģijas vienības (bioloģiskas un nebioloģiskas izcelsmes).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tiesību akts tomēr nav attiecināms uz visiem uzņēmumiem, lūdzam attiecīgi precizēt  mērķa grupu.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Ciukša (VK)</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pārliecināties, ka aprēķins veikts par visiem komersantiem, uz ko attiecas prasība sagatavot ziņojumu. Skaidrojumā norādīts, ka aprēķins veikts par degvielas piegādātājiem, bet tiesību aktā norādīts, ka ziņojums sagatavojams arī elektroenerģijas vienību pārdevējam, ja tie piedalās vienību apmaiņas mehānismā (49.punkts), kā arī komersantiem, kas nav  degvielas piegādātājs, bet var piedāvāt transporta enerģijas vienības, ja tie piedalās vienību apmaiņas mehānismā (60.punkts).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Administratīvais slogs būtu izvērtējams un aprēķināms par komersantu dalību vienību apmaiņas mehānismā, kas paredz informācijas sniegšanas prasību, tostarp darījuma un tā pabeigšanas reģistrēšanu, konkrētu datu ievadīšanu, informācijas apliecināšanu (32., 33., 34., 35., 36., 41., 42., 43., 45., 46., 53., 55., 56., 57.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3)Skaidrojumā lūdzam norādīt, uz kuriem tiesību akta punktiem aprēķins attiecināms.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Ciukša (VK)</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Atbilstības izmaksu monetārs novērtējums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precizēt veikto aprēķinu - sadaļā "Izmaksas par vienu vienību - </w:t>
            </w:r>
            <w:r w:rsidR="00000000" w:rsidRPr="00000000" w:rsidDel="00000000">
              <w:rPr>
                <w:i w:val="1"/>
                <w:rtl w:val="0"/>
              </w:rPr>
              <w:t xml:space="preserve">euro</w:t>
            </w:r>
            <w:r w:rsidR="00000000" w:rsidRPr="00000000" w:rsidDel="00000000">
              <w:rPr>
                <w:rtl w:val="0"/>
              </w:rPr>
              <w:t xml:space="preserve">) norādot vidējo tirgus vērtību par verificēšanas ziņojuma izstrādi, izmantojot skaidrojumā norādīto cenu diapazonu.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pārliecināties, ka aprēķins veikts attiecībā uz visiem komersantiem, uz kuriem attiecas ziņojuma pārbaudes prasība. No skaidrojumā iekļautās informācijas saprotams, ka aprēķins veikts par degvielas piegādātājiem, bet tiesību akta projektā norādīts, ka arī elektroenerģijas vienību pārdevējiem jāveic ziņojuma audits (49.punkts), kā arī komersantiem, kas nav degvielas piegādātājs, bet piedāvāt transporta enerģijas vienību apjomu vienību apmaiņas mehānismā (60.punkts).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Ciukša (VK)</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veikt administratīvā sloga aprēķināšanu tiesību akta projekta 78. punktā iekļautajai informācijas sniegšanas prasībai  - Valsts vides dienestam publicēt apkopojumu Latvijas Atvērto datu portālā.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Ciukša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23-TA-1986</w:t>
    </w:r>
    <w:r>
      <w:br/>
    </w:r>
    <w:r w:rsidR="00000000" w:rsidRPr="00000000" w:rsidDel="00000000">
      <w:rPr>
        <w:rtl w:val="0"/>
      </w:rPr>
      <w:t xml:space="preserve">Izdrukāts 09.04.2026. 12.52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23-TA-1986</w:t>
    </w:r>
    <w:r>
      <w:br/>
    </w:r>
    <w:r w:rsidR="00000000" w:rsidRPr="00000000" w:rsidDel="00000000">
      <w:rPr>
        <w:rtl w:val="0"/>
      </w:rPr>
      <w:t xml:space="preserve">Izdrukāts 09.04.2026. 12.52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Atzinumi_23-TA-1986.docx</dc:title>
</cp:coreProperties>
</file>

<file path=docProps/custom.xml><?xml version="1.0" encoding="utf-8"?>
<Properties xmlns="http://schemas.openxmlformats.org/officeDocument/2006/custom-properties" xmlns:vt="http://schemas.openxmlformats.org/officeDocument/2006/docPropsVTypes"/>
</file>