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8.</w:t>
            </w:r>
            <w:r w:rsidR="00000000" w:rsidRPr="00000000" w:rsidDel="00000000">
              <w:rPr>
                <w:vertAlign w:val="superscript"/>
                <w:rtl w:val="0"/>
              </w:rPr>
              <w:t xml:space="preserve">6</w:t>
            </w:r>
            <w:r w:rsidR="00000000" w:rsidRPr="00000000" w:rsidDel="00000000">
              <w:rPr>
                <w:rtl w:val="0"/>
              </w:rPr>
              <w:t xml:space="preserve"> panta pirmo daļu ar 8. un 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ar izglītības un zinātnes ministra rīkojumu tiek atcelta vai anulēta augstskolas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pamatojoties uz Studiju kvalitātes komisijas lēmumu, neatbilst nevienam no noteiktajiem augstskolu tipiem.".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"Grozījumi Augstskolu likumā" (turpmāk – projekts) 2. pantā ietvertā Augstskolu likuma 8.</w:t>
            </w:r>
            <w:r w:rsidR="00000000" w:rsidRPr="00000000" w:rsidDel="00000000">
              <w:rPr>
                <w:vertAlign w:val="superscript"/>
                <w:rtl w:val="0"/>
              </w:rPr>
              <w:t xml:space="preserve">6</w:t>
            </w:r>
            <w:r w:rsidR="00000000" w:rsidRPr="00000000" w:rsidDel="00000000">
              <w:rPr>
                <w:rtl w:val="0"/>
              </w:rPr>
              <w:t xml:space="preserve"> panta pirmās daļas 9. punkta samērīgumu. Vēršam uzmanību uz to, ka augstskolas izslēgšana no Izglītības iestāžu reģistra ir galējais augstskolas darbības pastāvēšanas izbeigšanas rīks. Proti, augstskola var būt akreditēta, tās studiju virzieni var būt akreditēti un tā var īstenot licencētas studiju programmas, taču, ievērojot projektā paredzēto regulējumu, tā var tikt izslēgta no Izglītības iestāžu reģistra, jo tā neatbilst nevienam augstskolas tipam. Lūdzam izvērtēt, cik samērīgi ir izslēgt augstskolu no Izglītības iestāžu reģistra, ja tai ir spēkā esoša akreditācija un tā īsteno licencētas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informāciju par to, kā augstskola pārliecināsies par to, ka persona nav piedalījusies studiju procesā tuvinieka nāves vai akūtas saslimšanas, infekcijas vai traumas izraisīta veselības traucējuma, kura dēļ tas ārstējas stacionārā vai ambulatorā ārstniecības iestādē. Piemēram, vai personai būs jāiesniedz kādi attiecīgo situāciju apliecinoši dokumenti. Vēršam uzmanību uz to, ka šādi dokumenti varētu saturēt fiziskās personas datus, kas nozīmē, ka ir nepieciešams pamatot šādas datu apstrādes nepieciešamību, tostarp, aizpildīt anotācijas 8.1.13. apakšsadaļu. Vienlaikus norādām uz to, ka augstskolas personālam var nebūt pietiekamas zināšanas, lai novērtētu, vai personas saslimšana vai trauma ir pietiekams pamats nepiedalīties studiju procesā, kā arī attiecīgie dokumenti var nedot pietiekamu priekšstatu par personas veselības stāvokļa nopietnību un šķēršļiem piedalīties studiju procesā. Ievērojot minēto, lūdzam apsvērt šos apstākļus, pirms šāda regulējuma ietveršanas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projekta 3. punktā ietvertajā Augstskolu likuma 49. panta 1.</w:t>
            </w:r>
            <w:r w:rsidR="00000000" w:rsidRPr="00000000" w:rsidDel="00000000">
              <w:rPr>
                <w:vertAlign w:val="superscript"/>
                <w:rtl w:val="0"/>
              </w:rPr>
              <w:t xml:space="preserve">1</w:t>
            </w:r>
            <w:r w:rsidR="00000000" w:rsidRPr="00000000" w:rsidDel="00000000">
              <w:rPr>
                <w:rtl w:val="0"/>
              </w:rPr>
              <w:t xml:space="preserve"> daļas pirmajā teikumā paredzēto nosacījumu, ka personai ir jābūt nesasniedzamai, lai to varētu izslēgt no studējošo reģistra. Vēršam uzmanību uz to, ka var pastāvēt situācija, ka persona ir sasniedzama, taču turpina nepiedalīties studiju procesā. Vienlaikus aicinām norādīt, kādos veidos tiks mēģināts sasniegt personu, piemēram, sazinoties telefoniski vai ar elektroniskā pasta starpniecību, vai varbūt, piemēram, sūtot brīdinājuma vēstuli, ka persona tiks izslēgta no studējošo reģistra, ja neieradīsies augstskolā. Lai sasniegtu normas mērķi, normai ir jābūt pēc iespējas vienkārši piemērojamai, nepieļaujot veidus, kādos persona varētu apiet normā paredzētos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noteikumu ievaddaļu, ņemot vērā to, ka projekta pārejas noteikumi paredz papildināt Augstskolu likuma pārejas noteikumus ar diviem jauniem pārejas noteikumiem, proti, 147. un 148.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Augstskolu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 stāsies spēkā 2028. gada 1. janvārī, aicinām paredzēt, ka projekta 4. pantā ietvertais Augstskolu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daļas 6. punkts arī stājas spēkā 2028.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apakšsadaļā ietverto informāciju, ņemot vērā to, ka projektā ir paredzēts, ka tas stāsies spēkā nākamajā dienā pēc izsludināšanas, savukārt anotācijas 1.2. apakšsadaļā paredzēts, ka tas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20.07.2026.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20.07.2026.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