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25. jūnija noteikumos Nr. 276 "Valsts izglītības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 Atbilstoši izglītības iestādes ievadītajam izglītojamā personas kodam vai studējošā, kurš piesakās sociālās stipendijas "Studētgods" saņemšanai, personas kodam sistēma tiešsaistes režīmā no Datu izplatīšanas un pārvaldības platformas (DAGR) saņem un sistēmā saglabā šo noteikumu </w:t>
            </w:r>
            <w:r w:rsidR="00000000" w:rsidRPr="00000000" w:rsidDel="00000000">
              <w:rPr>
                <w:rtl w:val="0"/>
              </w:rPr>
              <w:t xml:space="preserve">11.25.</w:t>
            </w:r>
            <w:r w:rsidR="00000000" w:rsidRPr="00000000" w:rsidDel="00000000">
              <w:rPr>
                <w:rtl w:val="0"/>
              </w:rPr>
              <w:t xml:space="preserve"> un </w:t>
            </w:r>
            <w:r w:rsidR="00000000" w:rsidRPr="00000000" w:rsidDel="00000000">
              <w:rPr>
                <w:rtl w:val="0"/>
              </w:rPr>
              <w:t xml:space="preserve">12.11.</w:t>
            </w:r>
            <w:r w:rsidR="00000000" w:rsidRPr="00000000" w:rsidDel="00000000">
              <w:rPr>
                <w:rtl w:val="0"/>
              </w:rPr>
              <w:t xml:space="preserve">  apakšpunktā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 punkts paredz papildināt noteikumus ar 37.</w:t>
            </w:r>
            <w:r w:rsidR="00000000" w:rsidRPr="00000000" w:rsidDel="00000000">
              <w:rPr>
                <w:vertAlign w:val="superscript"/>
                <w:rtl w:val="0"/>
              </w:rPr>
              <w:t xml:space="preserve">1</w:t>
            </w:r>
            <w:r w:rsidR="00000000" w:rsidRPr="00000000" w:rsidDel="00000000">
              <w:rPr>
                <w:rtl w:val="0"/>
              </w:rPr>
              <w:t xml:space="preserve"> punktu un noteikt, ka atbilstoši izglītības iestādes ievadītajam izglītojamā personas kodam vai studējošā, kurš piesakās sociālās stipendijas "Studētgods" saņemšanai, personas kodam sistēma tiešsaistes režīmā no Datu izplatīšanas un pārvaldības platformas (DAGR) saņem un sistēmā saglabā šo noteikumu 11.25. un 12.11. apakšpunktā minēto informāciju. Vienlaikus noteikumu projekta 13. punkts paredz noteikumu 31.3. apakšpunktā noteikt, ka novada pašvaldība un valstspilsētas pašvaldība nodrošina šo noteikumu 11.25. un 12.11. apakšpunktā minētās informācijas ievadi informācijas sistēmā no pašvaldību informācijas sistēmām. Proti, regulējums paredz šo noteikumu 11.25. un 12.11. apakšpunktā minētās informācijas saņemšanu sistēmā no DAGR un pašvaldību informācijas sistēmām. Vienlaikus anotācijā skaidrots, ka minētos datus sistēma saņems no Labklājības ministrijas informācijas sistēmām. Ņemot vērā minēto pretrunīgo informāciju, viennozīmīgi nav saprotams kā regulējums tiks īstenots un vai tas ir atbilstošs Vispārīgās datu aizsardzības regulas 5. panta principiem.  Līdz ar to, aicinām izvērtēt minētās normas un precizēt anotācijā sniegto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citastrap paredz regulējumu par personas datu apstrādi, lūdzam aizpildīt 8.1.13. apakšpunktu ar informāciju par ietekmi uz datu aizsardzību.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24-TA-1939</w:t>
    </w:r>
    <w:r>
      <w:br/>
    </w:r>
    <w:r w:rsidR="00000000" w:rsidRPr="00000000" w:rsidDel="00000000">
      <w:rPr>
        <w:rtl w:val="0"/>
      </w:rPr>
      <w:t xml:space="preserve">Izdrukāts 04.09.2024.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24-TA-1939</w:t>
    </w:r>
    <w:r>
      <w:br/>
    </w:r>
    <w:r w:rsidR="00000000" w:rsidRPr="00000000" w:rsidDel="00000000">
      <w:rPr>
        <w:rtl w:val="0"/>
      </w:rPr>
      <w:t xml:space="preserve">Izdrukāts 04.09.2024.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Atzinumi_24-TA-1939.docx</dc:title>
</cp:coreProperties>
</file>

<file path=docProps/custom.xml><?xml version="1.0" encoding="utf-8"?>
<Properties xmlns="http://schemas.openxmlformats.org/officeDocument/2006/custom-properties" xmlns:vt="http://schemas.openxmlformats.org/officeDocument/2006/docPropsVTypes"/>
</file>