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23-TA-2929: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Jūras plānojuma Latvijas Republikas iekšējiem jūras ūdeņiem, teritoriālajai jūrai un ekskluzīvās ekonomiskās zonas ūdeņiem līdz 2030. gadam 2019. - 2023. gada starpposma novērtējums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"Jūras plānojuma Latvijas Republikas iekšējiem jūras ūdeņiem, teritoriālajai jūrai un ekskluzīvās ekonomiskās zonas ūdeņiem līdz 2030. gadam 2019. - 2023. gada starpposma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2019. gada 21. maija rīkojumu Nr. 232 "Par Jūras plānojumu Latvijas Republikas iekšējiem jūras ūdeņiem, teritoriālajai jūrai un ekskluzīvās ekonomiskās zonas ūdeņiem līdz 2030. gadam" esošās kuģošanai rezervētas zonas ir nostiprinātas atbilstoši nozares tendencēm un ostu attīstības plāniem ilgtermiņā, kuģošanas intensitāti (AIS dati) un starptautiskās konsultācijas, kā arī nodrošina plānojumā iekļauto jūras telpas izmantošanas zonu nepārklāšanos.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Jūras plānojumā noteikts, ka kuģošana ir prioritāra jūras izmantošana. Kuģošanai rezervētajās zonās nav pieļaujamas stacionāras būves vai konstrukcijas, kas nav saistītas ar kuģu satiksmes nodrošināšanu (tostarp VES, viļņu enerģijas elektrostacijas, ogļūdeņražu izpēte un eksperimentāla ieguve, ogļūdeņražu ieguves platformas, akvakultūras laukumi). Gadījumos, ja piemērotākā vieta vēja parku izpētes zonai atrodas kuģošanai rezervētajā zonā, nepieciešams panākt saskaņojumu ar atbildīgajām institūcijām, kā arī rast telpiskus risinājumus, lai nodrošinātu kuģošanas drošību, mainot konkrētās teritorijas izmantošanas prioritāti.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Jūras plānojumā noteikts, ka intensīvāk izmantojamās un stratēģiski nozīmīgās kuģošanas zonās neatrodas kuģu satiksmi traucējošas būves, regulēta zveja un cita veida jūras telpas izmantošana. Kuģošanas zonas ir pēc iespējas saskaņotas pāri robežām, ņemot vērā jūras telpas izmantošanu kaimiņvalstīs.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informatīvā ziņojuma 5.2. apakšsadaļas "Priekšlikumi Jūras plānojuma aktualizēšanai" 4. punkta (69.lpp.) priekšlikumu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lai nodrošinātu jūras telpas izmantošanas prioritāšu nepārklāšanos, izvērtēt kuģošanai rezervēto zonu telpiskās dimensijas atbilstoši nozares tendencēm un ostu attīstības plāniem, vienlaikus nodrošinot to saskaņošanu ar kaimiņu valstīm.”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Dzintars Vainovskis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"Jūras plānojuma Latvijas Republikas iekšējiem jūras ūdeņiem, teritoriālajai jūrai un ekskluzīvās ekonomiskās zonas ūdeņiem līdz 2030. gadam 2019. - 2023. gada starpposma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2.3.2. apakšsadaļā "Atkrastes vēja enerģijas projekts “ELWIND”" (32. lpp.) sniegtā informācija "kuģošanas ceļi tiks precizēti IVN procesa laikā" ir pretrunā likumā “Par ietekmes uz vidi novērtējumu” noteiktajam, jo likumā nav noteiktas tiesības IVN Izpildītājam precizēt kuģošanas ceļus.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informatīvā ziņojuma 2.3.2. apakšsadaļas "Atkrastes vēja enerģijas projekts “ELWIND”" teikumu šādā redakcijā: “Ostas un kuģošanas ceļi tiks precizēti IVN procesa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Dzintars Vainovskis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"Jūras plānojuma Latvijas Republikas iekšējiem jūras ūdeņiem, teritoriālajai jūrai un ekskluzīvās ekonomiskās zonas ūdeņiem līdz 2030. gadam 2019. - 2023. gada starpposma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apakšsadaļā 2.2.2. "Jūras satiksme" (27.lpp.) ir izteikts nepamatots pieņēmums, ka Eiropas Savienībās zaļais kurss nosaka kuģošanai rezervēto zonu telpisko dimensiju pārskatīšanu ar mērķi nodrošināt zonu savstarpēju nepārklāšanos.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svītrot informatīvā ziņojuma apakšsadaļā 2.2.2. "Jūras satiksme"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nākotnes tendences Zaļā kursa mērķu sasniegšanai, paredzams, ka Jūras plānojuma aktualizēšanas ietvaros būs nepieciešams pārskatīt un harmonizēt visas jūras telpas izmantošanas prioritātes, tai skaitā kuģošanai rezervēto zonu telpiskās dimensijas, nodrošinot zonu savstarpēju nepārklāšanos.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vērtēt Kuģošanai rezervēto zonu izmaiņas, ir nepieciešams ņemt vērā dažādus faktorus - kuģu skaitu, to tehniskos parametrus, jo, piemēram, vēja parku apkalpojošie kuģi ir divas reizes platāki par tirdzniecības kuģiem. Samazinoties kuģošanai rezervēto zonu platumam, rodas satiksmes ierobežojumi un var palielināties avāriju riski. Tāpat nepieciešams izvērtēt kuģu satiksmes plūsmu ārkārtas / ārējā apdraudējuma gadījumos, kā arī ņemt vērā avārijas seku likvidācijas iespējas jūrā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Dzintars Vainovskis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"Jūras plānojuma Latvijas Republikas iekšējiem jūras ūdeņiem, teritoriālajai jūrai un ekskluzīvās ekonomiskās zonas ūdeņiem līdz 2030. gadam 2019. - 2023. gada starpposma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informatīvo ziņojumu, piemēram, 1.3.4. apakšsadaļā aizstāt vārdu "iznicināšana" ar vārdu "iznīcināšana", informatīvā ziņojuma 2.6. apakšsadaļā aizstāt vārdu "Eiopas" ar vārdu "Eiropas" un informatīvā ziņojuma 5.2. apakšsadaļas 3. punkta septītajā apakšpunktā aizstāt vārdu "mēķu" ar vārdu "mērķu".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"Jūras plānojuma Latvijas Republikas iekšējiem jūras ūdeņiem, teritoriālajai jūrai un ekskluzīvās ekonomiskās zonas ūdeņiem līdz 2030. gadam 2019. - 2023. gada starpposma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ostu pārvaldes saskaņā ar Ostu likuma 7. panta trešās daļas 3. punktu apsaimnieko un uztur ar ostas darbību saistītu infrastruktūru, tostarp, kuģu ceļus, attiecīgi papildu administratīvā un finansiālā sloga palielināšana, pārvērtējot normatīvo aktu prasības, nebūtu vēlama. Ņemot vērā minēto, lūdzam informatīvā ziņojuma 2.9. apakšsadaļas "Grunts novietnes" pēdējo rindkopu (48. lpp.) izteikt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"Rekomendējams pārvērtēt normatīvos aktu prasības, lai navigācijas kanālu padziļināšanas rezultātā izņemto grunti varētu izmantot krasta erozijas kompensēšanai, neradot papildu slogu ostu pārvaldēm. Kā arī nepieciešams izvērtēt normatīvo aktu regulējumu un nepieciešamos grozījumus, kas būtu veicami, lai ekonomiski efektīvi izmantotu izsmelto jūras grunti, tostarp, rekomendācijas normatīvajos aktos par grunts novietošanu sauszemes teritorijās.".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"Jūras plānojuma Latvijas Republikas iekšējiem jūras ūdeņiem, teritoriālajai jūrai un ekskluzīvās ekonomiskās zonas ūdeņiem līdz 2030. gadam 2019. - 2023. gada starpposma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2.2.2. apakšsadaļas "Jūras satiksme" (25. lpp.) otro teikumu izteikt šādā redakcijā, lai skaidrotu, kurā vietā ir novērtēta šāda intensitāte: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"2016. gada kuģošanas intensitāte</w:t>
            </w:r>
            <w:r w:rsidR="00000000" w:rsidRPr="00000000" w:rsidDel="00000000">
              <w:rPr>
                <w:b w:val="1"/>
                <w:rtl w:val="0"/>
              </w:rPr>
              <w:t xml:space="preserve"> </w:t>
            </w:r>
            <w:r w:rsidR="00000000" w:rsidRPr="00000000" w:rsidDel="00000000">
              <w:rPr>
                <w:rtl w:val="0"/>
              </w:rPr>
              <w:t xml:space="preserve">minētajā kuģu maršrutā ir zem 4400 kuģu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arī pirmajā rindkopā minēto teritoriju apzīmējumu, lai tas būtu skaidri nolasāms no informatīvā ziņojuma 2.5. attēla. Šobrīd nav skaidrs, kas ir “atklātās jūras daļa” un “atklātās jūras ziemeļi” turpmāk minētās rindkopas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"Jūras plānojuma Latvijas Republikas iekšējiem jūras ūdeņiem, teritoriālajai jūrai un ekskluzīvās ekonomiskās zonas ūdeņiem līdz 2030. gadam 2019. - 2023. gada starpposma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2.2.2. apakšsadaļā "Jūras satiksme" 38. atsaucē pievienot saiti, kur pieejami dati no EMODNET.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"Jūras plānojuma Latvijas Republikas iekšējiem jūras ūdeņiem, teritoriālajai jūrai un ekskluzīvās ekonomiskās zonas ūdeņiem līdz 2030. gadam 2019. - 2023. gada starpposma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2.2.1. apakšsadaļā "Ostas" (20. lpp.) pirmajā rindkopā izmantot norādītajā EUROSTAT saitē esošus aktuālākos datus, proti, par 2021. gadu, kā arī papildināt minētās nodaļas sadaļā "Latvijas ostu potenciāls iesaistīties atkrastes vēja parku apkalpošanā" (22. lpp.) pēc vārda "plānoti" ar vārdiem "un īstenoti".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jūrā tiek plānoti un īstenoti vairāku atkrastes vēja parku būvniecība, tai skaitā arī ārpus Latvijas teritoriālās jūras un EEZ ūdeņiem. Latvijas ostas saskata atkrastes vēja parku apkalpošanā jaunu biznesa nišu arī ārpus Latvijas robežām, veicinot savu starptautisko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"Jūras plānojuma Latvijas Republikas iekšējiem jūras ūdeņiem, teritoriālajai jūrai un ekskluzīvās ekonomiskās zonas ūdeņiem līdz 2030. gadam 2019. - 2023. gada starpposma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2.1. apakšsadaļas "Bioloģiskās daudzveidības izpēte un saglabāšana" (18. lpp.) trešās rindkopas tekstu "Stingri aizsargāt vismaz trešdaļu (10 %) no ES aizsargājamajām teritorijām", ņemot vērā, ka nav skaidrs, vai šeit ir domāta trešdaļa vai 10 %.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"Jūras plānojuma Latvijas Republikas iekšējiem jūras ūdeņiem, teritoriālajai jūrai un ekskluzīvās ekonomiskās zonas ūdeņiem līdz 2030. gadam 2019. - 2023. gada starpposma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1.3.4. apakšsadaļas "Andropogēno slodžu ietekme uz ekosistēmu pakalpojumu nodrošinājumu" (16. lpp.) otrās rindkopas beigās izteikt piesārņojuma veidu vispārīgā formā: "potenciālais ķīmiskais piesārņojums no nogrimušām kravām."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"Jūras plānojuma Latvijas Republikas iekšējiem jūras ūdeņiem, teritoriālajai jūrai un ekskluzīvās ekonomiskās zonas ūdeņiem līdz 2030. gadam 2019. - 2023. gada starpposma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1.2. attēlā trīs aizsargājamās jūras teritorijas ir ne tikai Latvijas ekskluzīvajā ekonomiskajā zonā, bet sniedzas arī Latvijas teritoriālajā jūrā, lūdzam izvērtēt informatīvā ziņojuma 1.2.1. apakšsadaļu "Biotipi" un nepieciešamības gadījumā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"Jūras plānojuma Latvijas Republikas iekšējiem jūras ūdeņiem, teritoriālajai jūrai un ekskluzīvās ekonomiskās zonas ūdeņiem līdz 2030. gadam 2019. - 2023. gada starpposma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apakšsadaļā 2.2.2. "Jūras satiksme" (27. lpp.) sniegtā informācija dublējas ar sniegto informāciju par UNCLOS 60. pantā paredzēto drošības zonu.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informācijas par Jūras tiesību konvencijas 60. pantā minēto, ietveršanu informatīvajā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Dzintars Vainovskis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"Jūras plānojuma Latvijas Republikas iekšējiem jūras ūdeņiem, teritoriālajai jūrai un ekskluzīvās ekonomiskās zonas ūdeņiem līdz 2030. gadam 2019. - 2023. gada starpposma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apakšsadaļā 2.2.1. "Ostas" Latvijas mazās ostās (24.lpp.) mazo ostu priekšrocību raksturojumā vairākos teikumos atkārtojas vienas un tās pašas priekšrocības attiecībā pret Igaunijas ostām.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dublējošās priekšrocības no minētā teksta: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"Specializēto atkrastes vēja parku apkopes kuģu tehniskajiem parametriem atbilst Salacgrīvas, Skultes, Mērsraga un Rojas ostu tehniskie parametri, tādēļ šinī segmentā Rīgas līča Latvijas mazajām ostām ir priekšrocības attiecībā pret Igaunijas ostām.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Praktiski visām Latvijas mazajām ostām pie Rīgas līča, ņemot vērā to tehniskos parametrus, izdevīgos ziemas navigācijas apstākļus un krasta transporta loģistikas priekšrocības salīdzinot ar attiecīgām Igaunijas ostām, ir potenciāls iesaistīties atsevišķos atkrastes vēja parku celtniecības procesos."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Dzintars Vainovskis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"Jūras plānojuma Latvijas Republikas iekšējiem jūras ūdeņiem, teritoriālajai jūrai un ekskluzīvās ekonomiskās zonas ūdeņiem līdz 2030. gadam 2019. - 2023. gada starpposma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apakšsadaļā 2.2. "Ostas", Latvijas mazās ostās (24.lpp.) aizstāt vārdu “Bloģistikas” ar “loģistikas”.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Dzintars Vainovskis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"Jūras plānojuma Latvijas Republikas iekšējiem jūras ūdeņiem, teritoriālajai jūrai un ekskluzīvās ekonomiskās zonas ūdeņiem līdz 2030. gadam 2019. - 2023. gada starpposma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apakšsadaļā 2.2. "Jūras transports" (20.lpp.) precizēt Regulas publicēšanas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Parlamentā un Padomē 2023. gada 13. septembrī pieņemta Regula par atjaunīgo un mazoglekļa degvielu izmantošanu jūras transportā (iniciatīva “FuelEU Maritime”).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Dzintars Vainovskis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23-TA-2929</w:t>
    </w:r>
    <w:r>
      <w:br/>
    </w:r>
    <w:r w:rsidR="00000000" w:rsidRPr="00000000" w:rsidDel="00000000">
      <w:rPr>
        <w:rtl w:val="0"/>
      </w:rPr>
      <w:t xml:space="preserve">Izdrukāts 14.12.2023. 11.49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23-TA-2929</w:t>
    </w:r>
    <w:r>
      <w:br/>
    </w:r>
    <w:r w:rsidR="00000000" w:rsidRPr="00000000" w:rsidDel="00000000">
      <w:rPr>
        <w:rtl w:val="0"/>
      </w:rPr>
      <w:t xml:space="preserve">Izdrukāts 14.12.2023. 11.49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Atzinumi_23-TA-2929.docx</dc:title>
</cp:coreProperties>
</file>

<file path=docProps/custom.xml><?xml version="1.0" encoding="utf-8"?>
<Properties xmlns="http://schemas.openxmlformats.org/officeDocument/2006/custom-properties" xmlns:vt="http://schemas.openxmlformats.org/officeDocument/2006/docPropsVTypes"/>
</file>