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24-TA-2839: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Nodibinājuma "Latvijas Nacionālais mākslīgā intelekta centrs"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Centrs ir nodibinājums, kas darbojas saskaņā ar šo likumu un citiem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Centra dibinātājus un kādas kapitāla daļas pieder katram dibinātajam.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Saukants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Centra mērķis un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 akta 28.pantu 7.punktu ir pienākums nodrošināt, ka paziņojošo iestāžu rīcībā to uzdevumu pienācīgai izpildei, ir pietiekams skaits kompetentu darbinieku. Kompetentajam personālam attiecīgā gadījumā ir to funkcijai nepieciešamās speciālās zināšanas tādās jomās kā informācijas tehnoloģijas, MI un tiesības, tostarp pamattiesību uzraudzība. Līdz ar to, pieņemot, ka NMIC rīcībā būs eksperti ar speciālām zināšanām tādās jomās kā informācijas tehnoloģijas, MI un tiesības, tostarp pamattiesību uzraudzība, tad iepriekš minēto apsvērumu par konsolidētu ekspertīzes, zināšanu un resursu koncentrēšanos un efektīvāku valsts budžeta finansējuma izlietojumu ietvaros, būtu lietderīgi apsvērt, ka </w:t>
            </w:r>
            <w:r w:rsidR="00000000" w:rsidRPr="00000000" w:rsidDel="00000000">
              <w:rPr>
                <w:b w:val="1"/>
                <w:rtl w:val="0"/>
              </w:rPr>
              <w:t xml:space="preserve">NMIC nodrošina arī paziņojošās iestādes funkcijas MI akta izpratnē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Centra mērķis un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NMIC tiks noteikts par kompetento iestādi MI akta izpratnē, tad atbilstoši MI akta 70.panta NMIC ir jābūt vai nu paziņojošajai iestādei vai tirgus uzraudzības iestādei. Līdz ar to, lai izpildītu MI akta prasību, nepieciešams uzticēt NMIC vismaz kādu no šiem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jau ir paudusi, ka šobrīd tirgus uzraudzības iestādes savas kompetences ietvaros nevarēs nosegt visus MI produktus. Tirgus uzraudzībā uzrauga tikai fiziskus/materiālus produktus un tirgus uzraudzība ir vērsta uz patērētāja (t.s. aizsardzību). Līdz ar to attiecībā uz MI produktiem, kas būs programmatūra, vai MI produktiem, kas domāti valsts pārvaldes vajadzībām, nebūs nevienas tirgus uzraudzības iestādes, kas šādus produktus uzraudzīs.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pauž, lai nodrošinātu konsekventu MI akta piemērošanu, kā arī konsolidētu ekspertīzes, zināšanu un resursu koncentrēšanos un efektīvāku valsts budžeta finansējuma izlietojumu </w:t>
            </w:r>
            <w:r w:rsidR="00000000" w:rsidRPr="00000000" w:rsidDel="00000000">
              <w:rPr>
                <w:b w:val="1"/>
                <w:rtl w:val="0"/>
              </w:rPr>
              <w:t xml:space="preserve">NMIC būtu jānosaka par tirgus uzraudzības iestādi MI jomā par visiem MI produktiem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 uzdevumi ir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papildus Centra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"Izstrādāt 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"Izstrādāt un apstiprināt budžeta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"Nodrošināt dalību starptautiskajās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"Piedalīties normatīvo aktu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"Nodrošināt dalību starptautiskajās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uzdevumi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"Izstrādāt 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"Izstrādāt un apstiprināt budžeta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"Nodrošināt dalību starptautiskajās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"Piedalīties normatīvo aktu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"Nodrošināt dalību starptautiskajās organizācijās."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izsludināt un organizēt publiskā un privātā sektora projektu konkursus, tai skaitā projektu konkursus par sabiedrības drošību un noturību;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Publisko iepirkumu likuma 1. panta 19. punktam Centrs kā nodibinājums atbilst pasūtītāja statusam. Ņemot vērā, ka Centrs izsludina un organizē gan publiskā, gan privātā sektora projekta konkursus, lūdzam norādīt likumprojektā un anotācijā, kādos gadījumos un kādā apjomā piemērojams publisko iepirkumu tiesiskais regulējums Centra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izsludināt un organizēt publiskā un privātā sektora projektu konkursus, tai skaitā projektu konkursus par sabiedrības drošību un noturību, ievērojot publisko iepirkumu reglamentējošos normatīvos aktus;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Saukants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nodrošināt ekspertu atbalstu tirgus uzraudzības iestādēm Eiropas Parlamenta un Padomes regulas  (ES) 2024/1689 (ES) 2024/1689 (2024. gada 13. jūnijs), ar ko nosaka saskaņotas normas mākslīgā intelekta jomā un groza Regulas (EK) Nr. 300/2008, (ES) Nr. 167/2013, (ES) Nr. 168/2013, (ES) 2018/858, (ES) 2018/1139 un (ES) 2019/2144 un Direktīvas 2014/90/ES, (ES) 2016/797 un (ES) 2020/1828 (Mākslīgā intelekta akts)  (turpmāk - Regula Nr. 2024/1689) atbilstības pārkāpumu konstatēšanai;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10.apakšpunktu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ekspertu atbalstu tirgus uzraudzības iestādēm Eiropas Parlamenta un Padomes regulas  (ES) 2024/1689 (ES) 2024/1689 (2024. gada 13. jūnijs), ar ko nosaka saskaņotas normas mākslīgā intelekta jomā un groza Regulas (EK) Nr. 300/2008, (ES) Nr. 167/2013, (ES) Nr. 168/2013, (ES) 2018/858, (ES) 2018/1139 un (ES) 2019/2144 un Direktīvas 2014/90/ES, (ES) 2016/797 un (ES) 2020/1828 (Mākslīgā intelekta akts)  (turpmāk - Regula Nr. 2024/1689) mākslīgā intelekta jomas uzraudzības nodrošināšanai un risku pārvaldības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koordinēt jautājumus par mākslīgā intelekta regulatīvo smilškasti atbilstoši Regulai Nr. 2024/1689.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skaidrot vārda “koordinēt” nozīmi, nosaucot konkrētus NMIC uzdevumus vai veicamās darbības, vai arī precizēt likumprojektu nosaucot konkrētus NMIC uzdevumus, kas ir domāti ar procesu koordinēšanu. Lūgums anotācijā aprakstīt, kurus no MI aktā paredzētajiem uzdevumiem pildīs NMIC.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koordinēt jautājumus par mākslīgā intelekta regulatīvo smilškasti atbilstoši Regulai Nr. 2024/1689.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un likumprojektā ir pieminēts, ka NMIC būs iesaistīta regulatīvās smilškastes darbības nodrošināšanā un koordinēšanā. Vienlaikus no Likumprojekta un anotācijas neizriet, ka NMIC tiek noteikt jebkāds statuss vai funkcija MI akta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 akta 3.panta 55) punkts paredz, ka “MI “regulatīvā smilškaste”” ir kontrolēts satvars, ko izveido valsts kompetentā iestāde. MI akta 70.pants paredz, ka katra dalībvalsts šīs regulas nolūkos kā valsts kompetentās iestādes izveido vai izraugās vismaz vienu paziņojošo iestādi un vismaz vienu tirgus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projektam “Par Mākslīgā intelekta akta prasību ieviešanu” (TAP ID 24-TA-2633) šobrīd kā paziņojošā iestāde un kompetentā iestāde tiek noteikta Ekonomikas ministrija, kuras uzdevums attiecīgi būs izveidot “MI “regulatīvā smilškasti”” un uzraudzīt tās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vērš uzmanību, ja NMIC būs iestāde, kas izveidos un īstenot MI smilškastes darbību Latvijā atbilstoši MI aktā noteiktajam, tad </w:t>
            </w:r>
            <w:r w:rsidR="00000000" w:rsidRPr="00000000" w:rsidDel="00000000">
              <w:rPr>
                <w:b w:val="1"/>
                <w:rtl w:val="0"/>
              </w:rPr>
              <w:t xml:space="preserve">NMIC ir jānosaka par kompetento iestādi MI akta izpratnē ar visām attiecīgajām funkcijām, uzdevumiem un pilnvarām</w:t>
            </w:r>
            <w:r w:rsidR="00000000" w:rsidRPr="00000000" w:rsidDel="00000000">
              <w:rPr>
                <w:rtl w:val="0"/>
              </w:rPr>
              <w:t xml:space="preserve">. Ja MI centrs netiek noteikts par kompetento iestādi MI akta, tad faktiski Latvijā tiks īstenoti divi paralēli un savstarpēji dublējoši procesi – MI centrs veidos un uzraudzīs MI smilškasti (-es) un kāda cita iestāde, kas tiks noteikta par kompetento iestādi, arī veidos un uzraudzīs (citu) MI smilškasti. Kā arī veidojas pretruna ar informatīvo ziņojumu projektam “Par Mākslīgā intelekta akta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Centra līdzekļi un to izlietošana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5.pantu ar 4.daļu: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Centram ir tiesības noteikt šādus 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Biznesa kontaktu dibināšana Latvijas komersantiem Latvijā ar starptautiskajiem sadarbības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Tikšanās programmu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Mākslīgā intelekta semināru organizēšana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Publiskajam sektoram šie pakalpojumi tiek noteikti bezmaksas.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Centra līdzekļi un to izlietošana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Centram ir tiesības noteikt šādus 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Biznesa kontaktu dibināšana Latvijas komersantiem Latvijā ar starptautiskajiem sadarbības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Tikšanās programmu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Mākslīgā intelekta semināru organizēšana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Publiskajam sektoram šie pakalpojumi tiek noteikti bezmaksas.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Centra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6.panta 1)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Centrs ir Viedās administrācijas un reģionālās attīstības ministrijas, Ekonomikas ministrijas un Izglītības un zinātnes ministrijas pakļautībā.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Centru pārvalda un tā lēmējorgāns ir Centra padome. Centra padomi vada padomes priekšsēdētājs. Centra padomi izveido dibinātāji ne vairāk kā 9 locekļu sastāvā, iekļaujot tajā padomes priekšsēdētāju.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iekļaut: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un valdes sastāvu (iestādes), to iecelšanas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Padomes un valdes pilnvaras un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centra mērķim būtu jābūt ambiciozākam, nevis tikai efektivizētas funkcijas publiskajā pārvaldē, bet efektivizētas tādā veidā, lai stratēģiskos projektus vēlāk ar salīdzinoši nelielu adaptāciju varētu pārnest uz citām valsts iestādēm, privāto sektoru un eksportēt uz citas valsts publisko vai privāto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pievienot sekojošu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"Centram, izstrādājot stratēģiskos projektus un veicot saimniecisko darbību, jānodrošina stratēģiskā projekta rezultātu komercializācijas iespēju. Centrs, pildot 3. panta pirmajā daļā noteikto mērķi, efektivizē funkcijas publiskajā pārvaldē tādā veidā, lai šos risinājumus (stratēģiskos projektus) vēlāk ar salīdzinoši nelielu adaptāciju varētu pārnest uz citām valsts iestādēm, privāto sektoru un eksportēt uz citas valsts publisko vai privāto sektoru."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EM priekšlikumā 4.panta 4.punktā minēto par tiesībām iegūt nemantisku īpašumu, likumprojektā nepieciešams atrunāt, kam pieder “stratēģisko projektu” intelektuālais īpašums un tiesības to multiplicēt.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šādu risinājumu Latvija varētu parādīt labu piemēru, ka ir spēcīga MI vidē un šie stratēģiskie projekti būtu reāls piemērs potenciālajiem investoriem.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ka Centra dibinātāji būs valsts (VARAM) un citas privātā sektora organizācijas, tai skaitā starptautiskās organizācijas. Kā arī norādīt dibinātājus.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Centra kompetenci un finansējuma modeli (nav peļņas gūšanas rakstura), kā atbilstošākā juridiskā forma ir izraudzīta nodibinājuma veidošana. Izvērtējot iespējamos variantus Centra juridiskam ietvaram, secināts, ka izveidojot Centru kā nodibinājumu. Tāpēc dibinātāju sastāvā būs ne tikai valsti (VARAM personā), bet arī privātā sektora un nozares organizācijas, tai skaitā starptautiskās organizācijas."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Saukants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un noteikt likumprojektā, ka Centra sākotnējā izveides stadijā tiek iesaistīt starptautiskās organizācijas. Centram stratēģiski svarīgi piesaistīt tādus pasaulē pazīstamus mākslīgā intelekta jomas attīstītājus kā "Meta AI" un "Google". Šādu partneru piesaistīšana Centra darbībā veicinās Centra kompetenci uzdevumu izpildē un nodrošinās starptautiska līmeņa pakalpojumu izstrādi un zināšanu pārņemšanu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Centra kompetenci un finansējuma modeli (nav peļņas gūšanas rakstura), kā atbilstošākā juridiskā forma ir izraudzīta nodibinājuma veidošana. Izvērtējot iespējamos variantus Centra juridiskam ietvaram, secināts, ka izveidojot Centru kā nodibinājumu, ir iespējams dibinātāju sastāvā iekļaut ne tikai valsti (VARAM personā), bet arī privātā sektora un nozares organizācijas. Papildus tam nodibinājuma darbības virzieni nav tikai pārvaldes uzdevumu veikšana, bet daudz plašāks kompetences loks, piemēram, Centram ir svarīga iespēja veidot, pielāgot partnerības ar vietējiem un ārvalstu partneriem, dalībniekiem, citām pētniecības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Centra kompetenci un finansējuma modeli (nav peļņas gūšanas rakstura), kā atbilstošākā juridiskā forma ir izraudzīta nodibinājuma veidošana. Izvērtējot iespējamos variantus Centra juridiskam ietvaram, secināts, ka izveidojot Centru kā nodibinājumu, dibinātāju sastāvā ir jāiekļauj ne tikai valsti (VARAM personā), bet arī privātā sektora un nozares organizācijas. Papildus tam nodibinājuma darbības virzieni nav tikai pārvaldes uzdevumu veikšana, bet daudz plašāks kompetences loks, piemēram, Centram ir svarīga iespēja veidot, pielāgot partnerības ar vietējiem un ārvalstu partneriem, dalībniekiem, citām pētniecības organizācijām. Līdz ar to stratēģiski svarīgi Centra izveides sākuma stadijā piesaistīt Centra darbībai ārvalstu sadarbības partnerus, kas līdz šim ir parādījuši spēju attīstīt mākslīgā intelekta jomu pasaulē. Šādu partneru piesaistīšana nodrošinās efektīvāku Centra uzdevumu izpildi un mākslīgā intelekta jomas attīstību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Saukants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24-TA-2839</w:t>
    </w:r>
    <w:r>
      <w:br/>
    </w:r>
    <w:r w:rsidR="00000000" w:rsidRPr="00000000" w:rsidDel="00000000">
      <w:rPr>
        <w:rtl w:val="0"/>
      </w:rPr>
      <w:t xml:space="preserve">Izdrukāts 25.11.2024.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24-TA-2839</w:t>
    </w:r>
    <w:r>
      <w:br/>
    </w:r>
    <w:r w:rsidR="00000000" w:rsidRPr="00000000" w:rsidDel="00000000">
      <w:rPr>
        <w:rtl w:val="0"/>
      </w:rPr>
      <w:t xml:space="preserve">Izdrukāts 25.11.2024.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Atzinumi_24-TA-2839.docx</dc:title>
</cp:coreProperties>
</file>

<file path=docProps/custom.xml><?xml version="1.0" encoding="utf-8"?>
<Properties xmlns="http://schemas.openxmlformats.org/officeDocument/2006/custom-properties" xmlns:vt="http://schemas.openxmlformats.org/officeDocument/2006/docPropsVTypes"/>
</file>