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23-TA-2111: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2.2.3. specifiskā atbalsta mērķa “Uzlabot dabas aizsardzību un bioloģisko daudzveidību, “zaļo” infrastruktūru, it īpaši pilsētvidē, un samazināt piesārņojumu” 2.2.3.2. pasākuma “Vides izglītību veicinoši pasākumi sabiedrības informētībai un prasmju attīstībai” projektu iesniegumu pirmās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rezultāta rādītājs – atbalstīto kultūras un tūrisma objektu apmeklētāju skaits. Rezultāta rādītājs tiek sasniegts, ja projekta pirmā pēcuzraudzības gada beigās apmeklētāju skaits atbalstītajos dabas un vides izglītības informācijas centros sasniegs 201 000 apmeklētāju gada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5.2. apakšpunktu ar rezultāta rādītāja starpposma sasniedzamo vērtību, ņemot vērā Eiropas Savienības kohēzijas politikas programmā 2021.-2027.gadam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iesniedzējs atbilstoši sadarbības iestādes izstrādātajiem metodiskajiem norādījumiem veic izmaksu un ieguvumu analīzi, ja projektā plānoti ieņēmumi, ievērojot, ka ieņēmumi projektā nevar pārsniegt 50 procentus no infrastruktūras uzturēšanas izdevumiem.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protokollēmuma (Ministru kabineta 13.07.2023. sēdes protokols Nr. 36, 85.paragrāfs, 22-TA-2143) 3.punktam: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"3.Lai veicinātu Eiropas Savienības fondu projektu izvērtējuma par izmaksu un ieguvumu analīzi veikšanu ne tikai gadījumos, kad Eiropas Savienības fondu projekta ietvaros plānots gūt neto ieņēmumus, atbildīgā iestāde, izstrādājot Ministru kabineta noteikumu projektu par specifiskā atbalsta mērķa īstenošanu, paredz nepieciešamību finansējuma saņēmējam veikt izvērtējumu par izmaksu un ieguvumu analīzi Eiropas Savienības fondu projektiem, kuru atlase paredzēta ierobežotas projektu iesniegumu atlases veidā un projekta kopējās izmaksas (ieskaitot PVN) pārsniedz 1 miljonu euro. Atbildīgā iestāde minēto risinājumu var nepiemērot, ja to</w:t>
            </w:r>
            <w:r w:rsidR="00000000" w:rsidRPr="00000000" w:rsidDel="00000000">
              <w:rPr>
                <w:i w:val="1"/>
                <w:rtl w:val="0"/>
              </w:rPr>
              <w:t xml:space="preserve">objektīvi un izvērsti pamato Ministru kabineta noteikumu par specifisko atbalsta mērķa īstenošanu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izmaksu un ieguvumu analīzi jāveic, jo šis atbalsta pasākums tiek organizēts kā ierobežota projektu iesniegumu atlase, kur projekta kopējās izmaksas pārsniedz 1 milj. euro. Ņemot vērā minēto, lūdzam precizēt noteikumu projekta 15.punkta redakciju atbilstoši piedāvātajai redakcijai, t.sk. nodrošinot 2.6. projektu iesniegumu vērtēšanas kritērijā noteikto, ka ieņēmumi nepārsniedz 50 procentus no infrastruktūras un aprīkojuma uzturēšanas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izvērtēt un pēc nepieciešamības papildināt noteikumu projektu, norādot, ka noteikumu projekta 15. punktā minētā projekta izmaksu un ieguvumu analīze tiks pievienota projekta iesniegumam.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vai nosacījums par ieņēmumiem, kas nepārsniedz 50 procentus no infrastruktūras uzturēšanas izdevumiem, būtu iekļaujams citā MK noteikumu projekta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iesniedzējs atbilstoši sadarbības iestādes izstrādātajiem metodiskajiem norādījumiem veic izmaksu un ieguvumu analīzi. Ja projektā plānoti ieņēmumi, tie nepārsniedz 50 procentus no infrastruktūras un aprīkojuma uzturēšanas izdevumiem.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Projekta iesniedzējs atbilstoši sadarbības iestādes izstrādātajiem metodiskajiem norādījumiem veic izmaksu un ieguvumu analīzi, ja projektā plānoti ieņēmumi, ievērojot, ka ieņēmumi projektā nevar pārsniegt 50 procentus no infrastruktūras uzturēšanas izdevumiem.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ņemot vērā Komisijas paziņojuma par valsts atbalsta jēdzienu saskaņā ar Līguma par Eiropas Savienības darbību 107.panta 34. 35.punktu (pieejams: http://eur-lex.europa.eu/legal-content/LV/TXT/?uri=CELEX:52016XC0719(05)) atsevišķas ar kultūru, kultūrvēsturiskā mantojuma saglabāšanu un dabas aizsardzību saistītas darbības var, ņemot vērā to īpašo raksturu, būt organizētas nekomerciāli un tādējādi būt tādas, kurām nav saimnieciska rakstura. Tādējādi publiskais finansējums šādām darbībām var nebūt valsts atbalsts. EK uzskata, ka publiskā finansējuma piešķiršanai kultūras vai kultūrvēsturiskā mantojuma saglabāšanas pasākumam, kas visai sabiedrībai pieejams bez maksas, kalpo tīri sociālam un kultūras mērķim, nav saimnieciska rakstura. Tāpat arī tad, ja no kultūras iestādes apmeklētājiem vai sabiedrībai pieejama kultūras, kultūrvēsturiskā mantojuma saglabāšanas vai dabas aizsardzības pasākuma dalībniekiem tiek prasīta samaksa, kas sedz tikai daļu no faktiskajām izmaksām, šim pasākumam tik un tā nav saimnieciska rakstura, jo šādu samaksu nevar uzskatīt par reālu atlīdzību par sniegto pakalpojumu. Turpretī tādi kultūras vai kultūrvēsturiskā mantojuma saglabāšanas pasākumi (tostarp dabas aizsardzības pasākumi), kurus pārsvarā (ieņēmumi par pakalpojumu pārsniedz 50% no kopējiem izdevumiem) finansē no apmeklētāju vai lietotāju maksām vai ar citiem komerciāliem līdzekļiem (piemēram, komerciālas izstādes, kinoteātri, komerciāli koncerti un festivāli, mākslas skolas, kuras pārsvarā finansē no mācību maksas), būtu jākvalificē kā saimnieciska rakstura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tā kā pirmšķietami pasākums, ievērojot iepriekš minēto EK skaidrojumu, netiks kvalificēts kā saimnieciskā darbība, jo diez vai no dabas aizsardzības pasākuma dalībniekiem tiks prasīta samaksa par pakalpojumu, kas pārsniedz 50% no kopējiem izdevumiem, lūdzam precizēt normatīvā akta projektu tā, lai ir skaidrs: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kādēļ noteikumos ir iekļauts augstāk minētais komercdarbības atbalsta izslēdzošais nosacījums;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 minētos komercdarbības atbalsta izslēdzošos nosacījumus ir jānodrošina visu ieguldījumu amortizācijas laiku (projekta dzīves ciklu);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anotācijā iekļaujot atbilstošu izvērtējumu par komercdarbības atbalsta neesamību, ņemot vērā augstāk sniegto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Atlases kārtas ietvaros projektiem plāno tiešās un netiešās 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iespējami plašāku vienkāršoto izmaksu piemērošanu. Ja piemērot vienkāršotās izmaksas papildus jau paredzētajam nav iespējams, lūdzam sniegt argumentētu pamatojumu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Projekta izmaksas ir attiecināmas no 2023. gada 1. janvāra, taču projekta darbības nevar būt pabeigtas pirms projekta iesnieguma iesniegšanas sadarbības iestādē.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24. punkts paredz, ka projekta izmaksas paredzēts attiecināt no 2023. gada 1. janvāra. Ievērojot minēto, anotācijā ir jāsniedz pamatojums un Ministru kabineta sēdes protokollēmuma projektā jānosaka finanšu plūsmas pirms projekta apstiprināšanas nodrošināšanas nosacījumi, kā arī atbildīgās iestādes pienākumi un atbildība gadījumos, ja pirms projekta apstiprināšanas radušās izmaksas nav attiecināmas no Eiropas Savienības fondu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Atlases kārtas un projekta īstenošanas un uzraudzības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projektu papildināt ar normu, kas paredz ieņēmumu uzraudzību projekta dzīves ciklā, ņemot vērā nosacījumu par ieņēmumiem, kas nepārsniedz 50 procentus no infrastruktūras uzturēšanas izdevumiem.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Ritvars Timermanis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29.8. nodrošina projekta rezultātu ilgtspēju un uzturēšanu vismaz piecus gadus pēc noslēguma maksājuma veikšanas, bet, ja projekta ietvaros izveidotās infrastruktūras kalpošanas ilgums ir ilgāks, tad visu projekta iesniegumā norādīto infrastruktūras kalpošanas laiku;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29.8. apakšpunktu, jo EK 2023. gada 2. oktobrī ir sniegusi skaidrojumu, kādēļ ilgtspēja nav jānodrošina visu dzīves ciklu (amortizācijas) periodu, bet tikai 5 gadus. Ilgtspējas nosacījumi ir nodalāmi no papildus saimnieciskās uzraudzības nosacījumiem un ilgtspēja ir jānodrošina 5 gadus atbilstoši </w:t>
            </w:r>
            <w:r w:rsidR="00000000" w:rsidRPr="00000000" w:rsidDel="00000000">
              <w:rPr>
                <w:i w:val="1"/>
                <w:rtl w:val="0"/>
              </w:rPr>
              <w:t xml:space="preserve">Eiropas Parlamenta un Padomes Regula (ES) Nr. 1303/2013 ( 2013. gada 17. decembris ),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w:t>
            </w:r>
            <w:r w:rsidR="00000000" w:rsidRPr="00000000" w:rsidDel="00000000">
              <w:rPr>
                <w:rtl w:val="0"/>
              </w:rPr>
              <w:t xml:space="preserve"> 71.pantam.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Ritvars Timermanis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 ievēro horizontālo principu "Vienlīdzība, iekļaušana, nediskriminācija un pamattiesību ievērošana" un uzkrāj datus par projekta ietekmi uz horizontālo principu rādītājiem, veic datu ievadi Kohēzijas politikas fondu vienotās informācijas sistēmā projekta īstenošanas un pēcuzraudzības laikā, tai skaitā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apakšpunktu, ņemot vērā, ka nav paredzēta prasība uzkrāt datus par horizontālo principu rādītājiem pēcuzraudzības periodā, tāpat lūdzam redakcionāli precizēt sistēmas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 ievēro horizontālo principu “Vienlīdzība, iekļaušana, nediskriminācija un pamattiesību ievērošana”, uzkrāj datus par projekta ietekmi uz horizontālo principu rādītājiem un Kohēzijas politikas fondu vadības informācijas sistēmā sniedz informāciju par to sasniegtajām vērtībām, tai skaitā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 uzkrāj datus par projekta ietekmi uz horizontālo principu īstenošanu, veic datu ievadi Kohēzijas politikas fondu vienotās informācijas sistēmā projekta īstenošanas un pēcuzraudzības laikā un ievēro šādus principus: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apakšpunktu, ņemot vērā, ka nav noteikta prasība uzkrāt informāciju par horizontālo principu īstenošanu pēcuzraudzības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 projekta īstenošanas laikā uzkrāj datus par projekta ietekmi uz horizontālo principu īstenošanu un projekta īstenošanas laikā un pēcuzraudzības periodā ievēro šādus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29.12.1.energoefektivitāte pirmajā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29.12.2.iniciatīvas Eiropas Jaunais "Bauhaus" principus: estētika, ilgtspēja, iekļautība, tai skaitā, nodrošinot klimata pārmaiņām pielāgoto risinājumu iekļaušanos apkārtējā ainavā, dabā balstīto risinājumu, universālā dizaina principu ievērošanu;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Pēc līguma par projekta īstenošanu noslēgšanas sadarbības iestāde, pamatojoties uz finansējuma saņēmēja rakstisku avansa pieprasījumu, atbilstoši normatīvajiem aktiem par valsts budžeta līdzekļu plānošanas kārtību Eiropas Savienības fondu projektu īstenošanai un maksājumu veikšanai 2021. – 2027. gada plānošanas periodā nodrošina finansējuma saņēmējam avansa maksājumus, kurus var izmaksāt vairākos maksājumos, ievērojot, ka avansa un starpposma maksājumu kopsumma nepārsniedz 100 procentus no projektam piešķirtā Eiropas Reģionālās attīstības fonda finansējuma un valsts budžeta finansējuma kopsummas.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finansējuma saņēmējs ir valsts budžeta iestāde, un tām netiek plānoti avansi, lūdzam svītrot noteikumu projekta 30. un 31. punktu. Atbilstoši precizējama arī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Ja ar saimniecisku darbību nesaistīts projekts tā pēcuzraudzības  laikā kļūst par projektu, kas saistīts ar saimniecisku darbību, kurai sniegtais atbalsts būtu kvalificējams kā komercdarbības atbalsts, finansējuma saņēmējs no finansējuma, par kuru nav saņemts nekāds komercdarbības atbalsts, atmaksā sadarbības iestādei visu nelikumīgi saņemto komercdarbības atbalstu kopā ar procentiem  saskaņā ar </w:t>
            </w:r>
            <w:r w:rsidR="00000000" w:rsidRPr="00000000" w:rsidDel="00000000">
              <w:rPr>
                <w:rtl w:val="0"/>
              </w:rPr>
              <w:t xml:space="preserve">Komercdarbības atbalsta kontroles likuma</w:t>
            </w:r>
            <w:r w:rsidR="00000000" w:rsidRPr="00000000" w:rsidDel="00000000">
              <w:rPr>
                <w:rtl w:val="0"/>
              </w:rPr>
              <w:t xml:space="preserve"> IV vai V nodaļu.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lai uzskatītu, ka atbalsts netiek sniegts saimnieciskai darbībai dabas aizsardzības projektā, komercdarbības (šajā gadījumā - saimnieciskās darbības) atbalsta izslēdzošie nosacījumi ir jānodrošina visu ieguldījumu amortizācijas (projekta dzīves cikla) laiku (sīkāku skaidrojumu skatīt pie noteikumu 15.punkta iekļautā iebilduma). Attiecīgi lūdzam precizēt noteikumu 32.punktu. Vienlaikus aicinām izvērtēt, vai gadījumos, kad saimnieciskās darbības izslēdzošie nosacījumi netiek nodrošināti visu ieguldījumu amortizācijas (projekta dzīves cikla) laiku, un atbalsts kvalificēsies kā komercdarbības atbalsts, vai nebūtu jāparedz iespēja atbalstam piemērot attiecīgos komercdarbības atbalsta regulējumus, lai nelikumīgais komercdarbības atbalsts nebūtu jāatgūst.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rindkopu, kas sākas ar vārdiem "Projekta gaitā var tikt piesaistīti papildu eksperti īslaicīgu un specifisku darbu veikšanai", sākuma daļā aicinām ietvert informāciju, ka projekta personāls nodrošinās projekta administratīvās, organizatoriskās un koordinējošās funkcijas, šīs izmaksas ir skaidri nodalāmas no pārējām projekta izmaksām, kā arī nepastāv minēto izmaksu pārklāšanās ar papildu ekspertu izmaksām un funkcijām, tā kā šie eksperti var tikt piesaistīti…[..].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esošā redakcija ir interpretējama, pieļaujot, ka tas ir īstenošanas personāls, kas tiks piesaistīts uz noteiktu laiku. Aicinām pamatojumā norādīt, ka finansējuma saņēmējs šādu funkciju īstenošanu nenodrošina, tāpēc šis pakalpojums tiks iepirkts.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otro rindkopu precizēt šādā redakcijā:  </w:t>
            </w:r>
            <w:r w:rsidR="00000000" w:rsidRPr="00000000" w:rsidDel="00000000">
              <w:rPr>
                <w:i w:val="1"/>
                <w:rtl w:val="0"/>
              </w:rPr>
              <w:t xml:space="preserve">“Pēc projektu īstenošanas projektu ietvaros pilnveidotās vai jaunizveidotās infrastruktūras ekspluatācijai un uzturēšanai būs nepieciešami papildu līdzekļi no valsts budžeta, jo projekta ietvaros atbalstītajā infrastruktūrā ieņēmumi par sniegtajiem pakalpojumiem nespēs segt visas uzturēšanas izmaksas. Jautājums par papildu valsts budžeta finansējumu uzturēšanas izmaksu segšanai kārtējā gada ietvaros ir izskatāms un piešķirams Likumā par budžetu un finanšu vadību 9.</w:t>
            </w:r>
            <w:r w:rsidR="00000000" w:rsidRPr="00000000" w:rsidDel="00000000">
              <w:rPr>
                <w:i w:val="1"/>
                <w:vertAlign w:val="superscript"/>
                <w:rtl w:val="0"/>
              </w:rPr>
              <w:t xml:space="preserve">1 </w:t>
            </w:r>
            <w:r w:rsidR="00000000" w:rsidRPr="00000000" w:rsidDel="00000000">
              <w:rPr>
                <w:i w:val="1"/>
                <w:rtl w:val="0"/>
              </w:rPr>
              <w:t xml:space="preserve">panta otrajā daļā noteiktajā kārtībā un valsts budžeta likumprojekta sagatavošanas procesā Likumā par budžetu un finanšu vadību 18.</w:t>
            </w:r>
            <w:r w:rsidR="00000000" w:rsidRPr="00000000" w:rsidDel="00000000">
              <w:rPr>
                <w:i w:val="1"/>
                <w:vertAlign w:val="superscript"/>
                <w:rtl w:val="0"/>
              </w:rPr>
              <w:t xml:space="preserve">1 </w:t>
            </w:r>
            <w:r w:rsidR="00000000" w:rsidRPr="00000000" w:rsidDel="00000000">
              <w:rPr>
                <w:i w:val="1"/>
                <w:rtl w:val="0"/>
              </w:rPr>
              <w:t xml:space="preserve">panta sestās daļas 7.punktā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minētajā punktā arī pamatot, kāpēc ieņēmumi par sniegtajiem pakalpojumiem nespēs segt uzturēšanas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anotācijas 3.sadaļā punktā “Cita informācija” 2.tabulā norādīto pozīciju izmaksu summas, jo, saskaitot kopā apakšpozīcijām norādītās vērtības, neveidojas norādītās kopsummas plānotajiem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precizēt 2024. un 2030.gadam norādīto izdevumu sadalījumu ERAF finansējuma un valsts budžeta finansējuma apmēram, ņemot vērā, ka šobrīd izdevumu kopsumma ir mazāka nekā norādītais tās sadalījums finansējuma avotos.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Noteikumu projekts stājas spēkā pēc Eiropas Savienības kohēzijas politikas programmas 2021.–2027.gadam grozījumu apstiprināšanas Ministru kabinetā un Eiropas Komisijā.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sēdes protokollēmuma projekta 3.punktu, nosakot, ka izmaksas, kas saistītas ar VARAM ierosinātajiem grozījumiem Eiropas Savienības kohēzijas politikas programmā 2021.–2027.gadam (turpmāk - Programma), proti, jaunas atbalstāmās darbības iekļaušana, ir attiecināmas no Programmas grozījumu iesniegšanas brīža Eiropas Komisijā. Vienlaikus lūdzam paredzēt VARAM kā atbildīgās iestādes rīcību gadījumā, ja grozījumi programmā netiks apstiprināti. Attiecīgi, informācijas izsekojamībai, aicinām papildināt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rezultāta rādītājs – atbalstīto kultūras un tūrisma objektu apmeklētāju skaits. Rezultāta rādītājs tiek sasniegts, ja projekta pirmā pēcuzraudzības gada beigās apmeklētāju skaits atbalstītajos dabas un vides izglītības informācijas centros sasniegs 201 000 apmeklētāju gada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rezultāta rādītāja sasniegšanas termiņu, ņemot vērā, ka projekta īstenošana ir paredzēta līdz 2029.gada 31.decembrim, bet MK noteikumu 29.9.apakšpunkts paredz rādītāja uzskaiti vismaz gadu pēc noslēguma maksājuma veikšanas un informācijas sniegšanu pirmajā pēcprojekta pārskatā.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iesniedzējs saskaņā ar projektu iesniegumu atlases nolikuma prasībām elektroniski sagatavo projekta iesniegumu un iesniedz sadarbības iestādē, izmantojot Kohēzijas politikas fondu vadības informācijas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16.punktā vārdu "elektroniski", lai nerastos interpretācijas iespējas. Vēršam uzmanību, ka atbilstoši Kohēzijas politikas fondu vadības informācijas sistēmas funkcionalitātei, sistēmā ir iestrādāti projekta iesnieguma datu lauki, kuros tiek norādīta atbilstoša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17.7. informatīvo un publicitātes pasākumu īstenošana;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Eiropas Savienības fondu 2021. - 2027.gada plānošanas periodā izveidojošos praksi un horizontālajos normatīvajos aktos lietoto jēdzienu "komunikācijas un vizuālās identitātes prasību nodrošināšanas nosacījumi", aicinām izvērtēt un pēc nepieciešamības precizēt noteikumu projekta 17.7., 19.19. un 29.1.apakšpunktu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 projekta vadība.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noteikumu projekta 17.10.apakšpunktu atbilstoši piedāvātajai redakcijai. Vienlaikus aicinām izvērtēt, vai nosacījums ir papildināms arī ar projekta īstenošanas nodrošināšanu, ņemot vērā noteikumu projekta 19.15.apakšpunktā norādīto.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 projekta vadības nodrošināšana.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 energosertifikācijas, ekspertīzes un izpētes izmaksas, ja to veikšana ir priekšnosacījums, lai izstrādātu būvprojektu, būvdarbu ieceres dokumentāciju vai būvprojektu minimālā sastāvā;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noteikumu projekta 19.3.apakšpunkts būtu apvienojams ar noteikumu projekta 19.1. apakšpunktu, ņemot vērā vadlīniju attiecināmo izmaksu noteikšanai Eiropas Savienības Kohēzijas politikas programmas 2021.-2027.gada plānošanas periodā 10.2.apakšpunktā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19.4.1. ēkas un ar to saistītās infrastruktūras būvniecība, tai skaitā iekārtu un tāda aprīkojuma iegāde un uzstādīšana, kas paredzēts būvprojektā un nepieciešams būves vai tās daļas pieņemšanai ekspluatācijā vai kas nepieciešams ēkas funkcionalitātes nodrošināšanai un veido ēkas inženiertīklus. Atbalstāma ir "zaļās" infrastruktūras risinājumu izmantošana, tai skaitā telpu dzesēšanas un ventilācijas risinājumi, kuri nodrošina tādu iekštelpu gaisa apmaiņu un ventilāciju, kas mazina kaitējumu veselībai un novērš ekstremālas gaisa temperatūras maiņas ietekmi uz cilvēku;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norādot "funkcionāli saistītās", lai izvairītos no plašākas interpretācijas nekā skaidrots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19.4.1. ēkas un ar to funkcionāli saistītās infrastruktūras būvniecība, tai skaitā iekārtu un tāda aprīkojuma iegāde un uzstādīšana, kas paredzēts būvprojektā un nepieciešams būves vai tās daļas pieņemšanai ekspluatācijā vai kas nepieciešams ēkas funkcionalitātes nodrošināšanai un veido ēkas inženiertīklus. Atbalstāma ir "zaļās" infrastruktūras risinājumu izmantošana, tai skaitā telpu dzesēšanas un ventilācijas risinājumi, kuri nodrošina tādu iekštelpu gaisa apmaiņu un ventilāciju, kas mazina kaitējumu veselībai un novērš ekstremālas gaisa temperatūras maiņas ietekmi uz cilvēku;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Austriņa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19.8. telpu aprīkojuma iegādes un uzstādīšanas izmaksas dabas un vides izglītības centru funkcionalitātei un izglītības procesa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noteikumu projekta 19.8.punktā noteikto izmaksu būtību, norādot, vai ar tekstu "telpu aprīkojuma iegāde" ir domātas darba vietas aprīkojuma iegādes vai nomas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19.16. izmaksas, kas saistītas ar papildu ekspertu piesaisti īslaicīgu un specifisku darbu veikšanai projekta īstenošanas laikā uz uzņēmuma (pakalpojuma) līguma pamata, piemēram, sugu un biotopu eksperts, ēku apsaimniekošanas eksperts, būvuzraugs u.c.;</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Visas uzskaitītās izmaksas ir pakalpojumi, par ko jāveic attiecīgs iepirkums. Lūdzam neizdalīt šos konkrētos pakalpojumus atsevišķi no citiem projekta ietvaros veicamajiem pakalpojumiem, ja vien tam nav pamatots iemesls.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Lucāne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19.18. darba vietas aprīkojuma iegādes vai nomas izmaksas jaunu darba vietu radīšanai vai esošo darba vietu atjaunošanai, uzturēšanai un remontam ne vairāk kā 3000 </w:t>
            </w:r>
            <w:r w:rsidR="00000000" w:rsidRPr="00000000" w:rsidDel="00000000">
              <w:rPr>
                <w:i w:val="1"/>
                <w:rtl w:val="0"/>
              </w:rPr>
              <w:t xml:space="preserve">euro</w:t>
            </w:r>
            <w:r w:rsidR="00000000" w:rsidRPr="00000000" w:rsidDel="00000000">
              <w:rPr>
                <w:rtl w:val="0"/>
              </w:rPr>
              <w:t xml:space="preserve"> apmērā vienai darba vietai visā projekta īstenošanas laikā personālam, kas projektā ir nodarbināts vismaz 30 procentus darba laika, ievērojot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vadlīniju attiecināmo izmaksu noteikšanai Eiropas Savienības kohēzijas politikas programmas 2021.-2027.gada plānošanas periodā 9.18. apakšpunktu, lūdzam aizstāt vārdus "vai esošo darba vietu atjaunošanai" ar vārdiem "vai gadījumos, ja esošo darba vietu aprīkojums ir nolietojies un tiek norakstīts", attiecīgi precizējot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19.19. ar projekta darbībām tieši saistīto publicitātes pasākumu izmaksas, kas veiktas saskaņā ar normatīvo aktu par kārtību, kādā Eiropas Savienības fondu vadībā iesaistītās institūcijas nodrošina šo fondu ieviešanu 2021.–2027.gada plānošanas periodā, nepārsniedzot vienu procentu no projekta kopējām tiešajām 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19.19.apakšpunktu, svītrojot norādi uz tajā minēto normatīvo aktu, ņemot vērā, ka tajā nav noteiktas komunikācijas un vizuālās identitātes prasību nodrošināšanas izmaksas, bet to saturs.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Projekta netiešās attiecināmās izmaksas atbalstāmo darbību īstenošanai, kas nav iekļautas </w:t>
            </w:r>
            <w:r w:rsidR="00000000" w:rsidRPr="00000000" w:rsidDel="00000000">
              <w:rPr>
                <w:rtl w:val="0"/>
              </w:rPr>
              <w:t xml:space="preserve">19.18. </w:t>
            </w:r>
            <w:r w:rsidR="00000000" w:rsidRPr="00000000" w:rsidDel="00000000">
              <w:rPr>
                <w:rtl w:val="0"/>
              </w:rPr>
              <w:t xml:space="preserve">apakšpunktā</w:t>
            </w:r>
            <w:r w:rsidR="00000000" w:rsidRPr="00000000" w:rsidDel="00000000">
              <w:rPr>
                <w:rtl w:val="0"/>
              </w:rPr>
              <w:t xml:space="preserve">, plāno kā vienu izmaksu pozīciju, piemērojot netiešo izmaksu vienoto likmi septiņu procentu apmērā no šo noteikumu </w:t>
            </w:r>
            <w:r w:rsidR="00000000" w:rsidRPr="00000000" w:rsidDel="00000000">
              <w:rPr>
                <w:rtl w:val="0"/>
              </w:rPr>
              <w:t xml:space="preserve">19. </w:t>
            </w:r>
            <w:r w:rsidR="00000000" w:rsidRPr="00000000" w:rsidDel="00000000">
              <w:rPr>
                <w:rtl w:val="0"/>
              </w:rPr>
              <w:t xml:space="preserve">punktā</w:t>
            </w:r>
            <w:r w:rsidR="00000000" w:rsidRPr="00000000" w:rsidDel="00000000">
              <w:rPr>
                <w:rtl w:val="0"/>
              </w:rPr>
              <w:t xml:space="preserve"> minētajām tiešajām attiecināmajām izmaksām.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kas tiek saprasts ar vārdiem "kas nav iekļautas 19.18.apašpunktā", nepieciešamības gadījumā pārskatot šī apakšpunkta redakciju, piemēram, iekļaujot, kuru darbību īstenošanai tiek plānotas projekta netiešās attiecināmās izmaksas (nevis, kas nav iekļautas).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Pievienotās vērtības nodokļa maksājumi, kas tiešā veidā saistīti ar projektu, uzskatāmi par attiecināmajām izmaksām saskaņā ar regulas Nr. </w:t>
            </w:r>
            <w:r w:rsidR="00000000" w:rsidRPr="00000000" w:rsidDel="00000000">
              <w:rPr>
                <w:rtl w:val="0"/>
              </w:rPr>
              <w:t xml:space="preserve">2021/1060</w:t>
            </w:r>
            <w:r w:rsidR="00000000" w:rsidRPr="00000000" w:rsidDel="00000000">
              <w:rPr>
                <w:rtl w:val="0"/>
              </w:rPr>
              <w:t xml:space="preserve"> 64. panta 1. punkta "c" apakšpunktu, ja tas nav atgūstams atbilstoši normatīvajiem aktiem nodokļu politikas jomā.</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noteikumu projekta 23.punktā pilno Regulas 2021/1060 nosaukumu un pieņemšanas datumu, ņemot vērā, ka iepriekš netika atrunāts saīsinājums.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29.3. nodrošina, ka projektā plānotie darbi netiek finansēti vai līdzfinansēti, kā arī nav plānots tos finansēt vai līdzfinansēt no citiem valsts vai ārvalstu finanšu atbalsta instrumentiem;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29.3.apakšpunktu aiz vārda "instrumentiem" ar vārdiem "un dubultā finansējuma neiestāšanos".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29.6. izstrādā nosacījumus, kā pārliecinās par interešu konflikta neesamību, tostarp identificē apstākļus, kuri izraisa vai var izraisīt interešu konfliktu, kas rada apdraudējumu vai kaitējumu projekta īstenošanā, nosaka veicamos pasākumus un izstrādā darbības plānu interešu konflikta preventīvai novēršanai un gadījumiem, kad interešu konflikts ir atklāts;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29.6. apakšpunktu ar norādi, ka finansējuma saņēmējs izstrādā nosacījumus ne tikai par interešu konflikta, bet arī par krāpšanas un korupcijas risku neesamību.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noteikumu projekta 29.6. apakšpunktu ar norādi, ka finansējuma saņēmējs paraksta interešu konflikta neesamības apliecinājumu.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lūdzam papildināt anotācijas 1.3. sadaļu ar skaidrojumu par interešu konflikta neesamības nodrošināšanu, tostarp saskaņā ar Eiropas Parlamenta un Padomes 2018. gada 18. jūlija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panta prasībām un publiskos iepirkumus regulējošiem normatīvajiem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29.11.4. nodrošina atjaunoto, pārbūvēto un jaunbūvēto ēku un ar to saistītās infrastruktūras energoresursu patēriņu tikai no atjaunīgajiem energoresursiem. Prasība projekta pēcuzraudzības periodā ir uzskatāma par izpildītu, ja atjaunīgo energoresursu īpatsvars ēkā un ar to saistītajā infrastruktūrā sastāda vismaz 80 %.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neparedzot apakšpunktā vienlaikus "tikai no", kas nozīmē 100% patēriņu, un "vismaz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precizējot, ka tiek vērtēts enerģijas nevis energoresursu patēriņš (atbilstoši anotācijā norādītajam).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29.11.4. nodrošina, ka vismaz 80 % atjaunoto, pārbūvēto un jaunbūvēto ēku un ar to saistītās infrastruktūras patērētās enerģijas ir ražota no atjaunīgiem energoresursiem.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Austriņa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norādīto dabas izglītības speciālistu mēnešalgas grupas līmeni uz 9 II B.</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precizēt/svītrot vārdus "to atlīdzībai noteikto atalgojuma viduspunktu" anotācijas vienotās likmes aprēķina rindkopas 2) punktā, ņemot vērā, ka aprēķinā izmantotās algas atšķiras no viduspunkta, kā arī atlīdzības apmērs ir finansējuma saņēmēja sniegtā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terminoloģiju, attiecīgajās vietās precizējot no "personāla atlīdzības izmaksu likmes apmērs" uz "vienotās likmes apmērs".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teikumu "projekta iesniedzēja īpašumā esošs zemesgabals vai zemesgabali, uz kuriem atrodas ēka vai kuri vismaz vienā punktā skar ēkas ārējās kontūras" ar valdījuma tiesībām, kas paredzētas noteikumu 29.7. apakšpunktā un minētas pārējā anotācijas saturā.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Austriņa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 sadaļu "Tiesību akta projekta ietekmējamās sabiedrības grupas, ietekme uz tautsaimniecības attīstību un administratīvo slogu" ar pēc iespējas izmērāmu sagaidāmo ietekmi uz tautsaimniecību, piemēram, tūristu skaita pieaugums u.c.. Atgādinām, ka investīciju pienesumu tautsaimniecībai atspoguļo, piemēram, izmērāma ietekme uz makroekonomisko vidi, pienesums ekonomikas transformācijai, nozaru konkurētspējai, uzņēmējdarbības videi, nodarbinātībai, kā arī ietekme uz nozaru politikas mērķiem, Latvijas Nacionālajā attīstības plāna 2021.–2027.gadam noteiktajiem mērķiem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2.sadaļu ar norādi uz Dabas aizsardzības pārvaldi, kura pildīs finansējuma saņēmēja funkcijas, un Vides aizsardzības un reģionālās attīstības ministriju, kura pildīs atbildīgās iestādes funkcijas.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3.sadaļā punktā “Cita informācija” norādīto 2.tabulu ar prognozētajām uzturēšanas izmaksām projektu pēc ieviešanas periodā noformēt kā anotācijas pielikumu, attiecīgi anotācijas 3.sadaļas punktā “Cita informācija” norādot tikai kopsummas un norādot atsauci uz anotācijas 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anotācijas 3.sadaļas 5.1.apakšpunktu.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5.4. sadaļas 1. tabulu ar atsauci uz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47.pantu.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atsauces nepieciešamību uz Eiropas Parlamenta un Padomes 2018. gada 18. jūlija Regulas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61.pantu, ņemot vērā, ka noteikumu projektā nav minēts šīs 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6.1. un 7.1. sadaļu ar norādi uz Vides aizsardzības un reģionālās attīstības ministriju. Papildus lūdzam izvērtēt un nepieciešamības gadījumā svītrot anotācijas 6.1. sadaļā norādi uz Centrālo finanšu un līgumu aģentūru.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6.sadaļu ar informāciju par attiecīgās nozares/ jomas pārstāvošu biedrību, nodibinājumu, nevalstisko organizāciju  iesaisti noteikumu projekta izstrādē atbilstoši Ministru Prezidenta 2021.gada 7.septembra rezolūcijā Nr. 2021-1.1.1./50-50 noteiktajam: “Izstrādājot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7.4. sadaļā noteikts, ka, īstenojot projektu, projekta pēcuzraudzības laikā un pēc tā, tiks radītas astoņas jaunas darba vietas dabas izglītības speciālistiem, lai nodrošinātu dabas izglītības centru nepārtrauktu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 gada 7. septembra noteikumu Nr. 606 "Ministru kabineta kārtības rullis" 52. punktā ir noteiktas institūcijas, no kurām nepieciešams saņemt projekta saskaņojumu. Atbilstoši minēto noteikumu 52.2.1. apakšpunktā noteiktajam ir nepieciešams saņemt atzinumu (projekta saskaņojumu) no Valsts kancelejas, ja projekts attiecas uz valsts pārvaldes institucionālo uzbūvi un darbības principiem, kā arī amata vietu skaita un atlīdzības (izņemot pedagogu)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saskaņot noteikumu projektu ar Valsts kanceleju.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8.1.2. uz valsts un pašvaldību informācijas un komunikācijas tehnoloģiju attīstību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8.1.2.apakšsadaļu, ņemot vērā noteikumu projekta 19.6.apakšpunktā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23-TA-2111</w:t>
    </w:r>
    <w:r>
      <w:br/>
    </w:r>
    <w:r w:rsidR="00000000" w:rsidRPr="00000000" w:rsidDel="00000000">
      <w:rPr>
        <w:rtl w:val="0"/>
      </w:rPr>
      <w:t xml:space="preserve">Izdrukāts 24.10.2023. 21.11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23-TA-2111</w:t>
    </w:r>
    <w:r>
      <w:br/>
    </w:r>
    <w:r w:rsidR="00000000" w:rsidRPr="00000000" w:rsidDel="00000000">
      <w:rPr>
        <w:rtl w:val="0"/>
      </w:rPr>
      <w:t xml:space="preserve">Izdrukāts 24.10.2023. 21.11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Atzinumi_23-TA-2111.docx</dc:title>
</cp:coreProperties>
</file>

<file path=docProps/custom.xml><?xml version="1.0" encoding="utf-8"?>
<Properties xmlns="http://schemas.openxmlformats.org/officeDocument/2006/custom-properties" xmlns:vt="http://schemas.openxmlformats.org/officeDocument/2006/docPropsVTypes"/>
</file>