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mēneša darba algas noteikšanas un pārskatīšanas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sadaļā,,Risinājuma apraksts''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7.rindkopā dzēst lieko vārdu ,,par'' teikumā: "Jāuzsver, ka sociālajiem partneriem nav vienotas nostājas attiecībā uz atsauces vērtību, līdz ar to, apkopojot visus saņemtos viedokļus, kā arī ņemot vērā bruto minimālās algas attiecību pret vidējo algu citās ES valstīs, un, lai nodrošinātu optimālu, tautsaimniecības un reģionālās attīstības situācijai atbilstošu minimālās mēneša darba algas kāpumu, noteikumu projektā tika iestrādāta atsauces vērtība 46 procentu apmērā no Centrālās statistikas pārvaldes aprēķinātās vidējās bruto darba samaksas par</w:t>
            </w:r>
            <w:r w:rsidR="00000000" w:rsidRPr="00000000" w:rsidDel="00000000">
              <w:rPr>
                <w:u w:val="single"/>
                <w:rtl w:val="0"/>
              </w:rPr>
              <w:t xml:space="preserve"> par </w:t>
            </w:r>
            <w:r w:rsidR="00000000" w:rsidRPr="00000000" w:rsidDel="00000000">
              <w:rPr>
                <w:rtl w:val="0"/>
              </w:rPr>
              <w:t xml:space="preserve">pēdējiem pieejamiem 12 mēnešiem.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11.rindkopā labot skaitli 741,98 euro uz 742,15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aprēķinus, CSP izmanto vidējās darba samaksas rādītāju ar divām zīmēm aiz komata (līdz 1 centam).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Noapaļojot aprēķināto vidējo rādītāju par periodu 2023. gada jūlijs – 2024. gada jūnijs līdz divām zīmēm aiz komata, rezultāts ir 1613,37 euro. Aprēķinot 46 procentus no 1613,37 euro, rezultāts ir 742,15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sadaļā,,Risinājuma apraksts''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7.rindkopā dzēst lieko vārdu ,,par'' teikumā: "Jāuzsver, ka sociālajiem partneriem nav vienotas nostājas attiecībā uz atsauces vērtību, līdz ar to, apkopojot visus saņemtos viedokļus, kā arī ņemot vērā bruto minimālās algas attiecību pret vidējo algu citās ES valstīs, un, lai nodrošinātu optimālu, tautsaimniecības un reģionālās attīstības situācijai atbilstošu minimālās mēneša darba algas kāpumu, noteikumu projektā tika iestrādāta atsauces vērtība 46 procentu apmērā no Centrālās statistikas pārvaldes aprēķinātās vidējās bruto darba samaksas par </w:t>
            </w:r>
            <w:r w:rsidR="00000000" w:rsidRPr="00000000" w:rsidDel="00000000">
              <w:rPr>
                <w:u w:val="single"/>
                <w:rtl w:val="0"/>
              </w:rPr>
              <w:t xml:space="preserve">par</w:t>
            </w:r>
            <w:r w:rsidR="00000000" w:rsidRPr="00000000" w:rsidDel="00000000">
              <w:rPr>
                <w:rtl w:val="0"/>
              </w:rPr>
              <w:t xml:space="preserve"> pēdējiem pieejamiem 12 mēnešiem.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11.rindkopā labot skaitli 741,98 euro uz 742,15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aprēķinus, CSP izmanto vidējās darba samaksas rādītāju ar divām zīmēm aiz komata (līdz 1 centam).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Noapaļojot aprēķināto vidējo rādītāju par periodu 2023. gada jūlijs – 2024. gada jūnijs līdz divām zīmēm aiz komata, rezultāts ir 1613,37 euro. Aprēķinot 46 procentus no 1613,37 euro, rezultāts ir 742,15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Rožkalne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03.10.2024. 21.57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03.10.2024. 21.57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Atzinumi_24-TA-1.docx</dc:title>
</cp:coreProperties>
</file>

<file path=docProps/custom.xml><?xml version="1.0" encoding="utf-8"?>
<Properties xmlns="http://schemas.openxmlformats.org/officeDocument/2006/custom-properties" xmlns:vt="http://schemas.openxmlformats.org/officeDocument/2006/docPropsVTypes"/>
</file>