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Deklarācijas par Artura Krišjāņa Kariņa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birokrātijas samazināšana un valsts pārvaldes modernizācija ir īpaši aktuāla problēma, kurai nepieciešams straujš un efektīvs risinājums, LTRK rosina </w:t>
            </w:r>
            <w:r w:rsidR="00000000" w:rsidRPr="00000000" w:rsidDel="00000000">
              <w:rPr>
                <w:b w:val="1"/>
                <w:rtl w:val="0"/>
              </w:rPr>
              <w:t xml:space="preserve">papildināt 292.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Atceļot lieko birokrātiju, palielinot iestāžu vadītāju rīcības brīvību un vienlaikus atbildību par lēmumiem, pilnveidojot iestāžu stratēģijas un mainot vienoto atlīdzības sistēmu, izveidosim labākajiem ES paraugiem atbilstoši mazu un efektīvu publisko pārvaldi, kura ir sadarbē ar nozari un ir orientēta uz rezultātu nevis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Samazināts lēmumu pieņemšanas termiņš un atzīti darbības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Cilvēkresursi tiek efektīvi nodrošināti.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valsts un pašvaldību iestāde sagatavojusi un īsteno debirokratizēšanās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pašvaldību iestādes ar tautsaimniecību saistītajos jautājumos lēmumus pieņem operatīvi. Nodrošināta “Klusēšanas – piekrišanas” principa un “Konsultē vispirms” principa ievērojami plašāka piemērošanu valsts un pašvaldību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Sabalansēts valsts pārvaldē iesaistīto darbinieku skaits ar valsts darbspējīgo iedzīvotāju skaitu un veicamo uzdevumu apjomu. Iespējami vienkāršoti un digitalizēti valsts pārvaldes veicamie uzdevumi, atbrīvojot cilvēkresursus. Noteikts un nodots ārpakalpojumos (privātiem uzņēmumiem) deleģējamus valsts pārvaldes uzdevumus. Izstrādāti rīki (likumdošana, instruktāžas) valsts pārvaldē strādājošo savstarpējai aizvietojamībai krīzes situācijās, īslaicīgi palielinot darbinieku skaitu tur, kur tas nepieciešams (piemēram, PMLP dokumentu izsniegšanai piesaista darbiniekus no citām publiskās pārvaldes struktūrām, vai vēlēšanu laikā CVK piesaista darbiniekus no citām valsts pārvaldes struktūrām).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 2023. gada 1. janvāra vecāku pabalsta saņēmējam, kurš bērna kopšanas laikā ir nodarbināts un neatrodas bērna kopšanas atvaļinājumā, vai bērna kopšanas laikā gūst ienākumus kā pašnodarbinātais, pabalstu izmaksā 50%  (iepriekš 30%) apmērā no piešķirtā apmēra, LTRK vērš uzmanību, ka 2019. gada 30. maijā Labklājības ministrijā norisinājās kārtējā tikšanās saistībā ar vecāku pabalstu strādājošiem vecākiem, kurā piedalījās arī LTRK pārstāvji un kuras laikā tika veikti aprēķini par iespējamiem speciālā budžeta ietekmes variantiem, atkarībā no dažādiem strādājošo pabalsta apmēra izmaksas procentuālajiem apmēriem. Rezultātā Labklājības ministrijas un LTRK pārstāvji secināja, ka strādājošo pabalsts 75% apmērā radītu pozitīvu fiskālo ietekmi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247.1. punktu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r w:rsidR="00000000" w:rsidRPr="00000000" w:rsidDel="00000000">
              <w:rPr>
                <w:rtl w:val="0"/>
              </w:rPr>
              <w:t xml:space="preserve">: Izstrādāt grozījumus likumā "Par maternitātes un slimības apdrošināšanu", lai risinātu trūkstošā darbaspēka problēmu un mazinātu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r w:rsidR="00000000" w:rsidRPr="00000000" w:rsidDel="00000000">
              <w:rPr>
                <w:rtl w:val="0"/>
              </w:rPr>
              <w:t xml:space="preserve">: Vismaz līdz 75% ir palielināta pabalsta summa, kādu saņem strādājošais vecāks. Vienlaikus šī iespēja ir paredzēta arī tad, ja vecāks bērna kopšanas laikā strādā uz nepilnu slodzi un ja abi vecāki uzņemas aprūpēt bērnu solidāri.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jaunajā VRP redakcijā iekļauto LTRK priekšlikumu par dzelzceļa infrastruktūras attīstības veicināšanu, vienlaikus aicinām </w:t>
            </w:r>
            <w:r w:rsidR="00000000" w:rsidRPr="00000000" w:rsidDel="00000000">
              <w:rPr>
                <w:b w:val="1"/>
                <w:rtl w:val="0"/>
              </w:rPr>
              <w:t xml:space="preserve">papildināt 190.1.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pasākumi:</w:t>
            </w:r>
            <w:r w:rsidR="00000000" w:rsidRPr="00000000" w:rsidDel="00000000">
              <w:rPr>
                <w:rtl w:val="0"/>
              </w:rPr>
              <w:t xml:space="preserve"> Nodrošināsim transporta veidu godīgu, nediskriminējošu konkurenci un komodalitāti, izvērtējot "lietotājs maksā" un "piesārņotājs maksā" principu ievērošanu dažādiem transporta veidiem un izveidojot efektīvu komodālu transporta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satiksmes sadaļu, LTRK rosina </w:t>
            </w:r>
            <w:r w:rsidR="00000000" w:rsidRPr="00000000" w:rsidDel="00000000">
              <w:rPr>
                <w:b w:val="1"/>
                <w:rtl w:val="0"/>
              </w:rPr>
              <w:t xml:space="preserve">papildināt 182.1.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Latvijas Dzelzceļa infrastruktūras finansēšanas modelim arī jābūt </w:t>
            </w:r>
            <w:r w:rsidR="00000000" w:rsidRPr="00000000" w:rsidDel="00000000">
              <w:rPr>
                <w:u w:val="single"/>
                <w:rtl w:val="0"/>
              </w:rPr>
              <w:t xml:space="preserve">stabilam</w:t>
            </w:r>
            <w:r w:rsidR="00000000" w:rsidRPr="00000000" w:rsidDel="00000000">
              <w:rPr>
                <w:rtl w:val="0"/>
              </w:rPr>
              <w:t xml:space="preserve"> un </w:t>
            </w:r>
            <w:r w:rsidR="00000000" w:rsidRPr="00000000" w:rsidDel="00000000">
              <w:rPr>
                <w:u w:val="single"/>
                <w:rtl w:val="0"/>
              </w:rPr>
              <w:t xml:space="preserve">pārskatāmam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182. deklarācijā dotajam uzdevumam iekļaut </w:t>
            </w:r>
            <w:r w:rsidR="00000000" w:rsidRPr="00000000" w:rsidDel="00000000">
              <w:rPr>
                <w:b w:val="1"/>
                <w:rtl w:val="0"/>
              </w:rPr>
              <w:t xml:space="preserve">papildus pasākumu 182.2</w:t>
            </w:r>
            <w:r w:rsidR="00000000" w:rsidRPr="00000000" w:rsidDel="00000000">
              <w:rPr>
                <w:rtl w:val="0"/>
              </w:rPr>
              <w:t xml:space="preserve">., kur iekļaut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Veicināsim jaunu tirgu apguvi, lai kāpinātu tranzīta un loģistikas nozares attīstību, izaugsmes potenciālu un Latvijas tranzīta koridora pievienotās vērtības palielināšanu, attīstot un investējot dzelzceļa pasažieru un iekšzemes kravas pārvadājumu infrastruktūrā, veidojot vienotu dzelzceļa pārvadājumu tirgu Baltijā un saglabājot dzelzceļa kapacitāti apkalpot ostas un Latvijas tranzīta koridoru;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Nodrošināsim transporta infrastruktūras attīstīšanas plānus atspoguļošanu interaktīvajās kartēs, ar iespēju sabiedrībai plaši līdzdarboties infrastruktūras un likumdošanas iniciatīvu projektu tapšanā no apakšas uz augšu.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Nodrošināsim pārvaldīšanas sinerģiju starp esošo publiskās lietošanas dzelzceļa infrastruktūru un Eiropas platuma dzelzceļa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ka jaunās VRP redakcijas 158.7 punkts ir papildināts ar konkurences kropļojumu novēršanu un Konkurences padomes pilnvarām. Vienlaikus aicinām </w:t>
            </w:r>
            <w:r w:rsidR="00000000" w:rsidRPr="00000000" w:rsidDel="00000000">
              <w:rPr>
                <w:b w:val="1"/>
                <w:rtl w:val="0"/>
              </w:rPr>
              <w:t xml:space="preserve">papildināt 158.7 punktu</w:t>
            </w:r>
            <w:r w:rsidR="00000000" w:rsidRPr="00000000" w:rsidDel="00000000">
              <w:rPr>
                <w:rtl w:val="0"/>
              </w:rPr>
              <w:t xml:space="preserve"> ar sekojošiem rīcības plāna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Atteiksimies no in-house iepirkumu izmantošanas pašvaldībās un pilnveidosim publisko personu līdzdalības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ES un nacionālajiem normatīvajiem aktiem stiprināsim valsts atbalsta uzraudzību publiskajām kapitālsabiedrībām, t.sk. to meitas 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VRP projekta 137. punktam nepieciešami vairāki būtiski papildinājumi attiecībā uz darbspēka nodokļu politiku. Aicinām papildināt </w:t>
            </w:r>
            <w:r w:rsidR="00000000" w:rsidRPr="00000000" w:rsidDel="00000000">
              <w:rPr>
                <w:b w:val="1"/>
                <w:rtl w:val="0"/>
              </w:rPr>
              <w:t xml:space="preserve">137.1. punktu</w:t>
            </w:r>
            <w:r w:rsidR="00000000" w:rsidRPr="00000000" w:rsidDel="00000000">
              <w:rPr>
                <w:rtl w:val="0"/>
              </w:rPr>
              <w:t xml:space="preserve"> ar sekojošiem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Nodrošināta darbaspēka nodokļu konkurētspēja Baltijā visās algu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Izstrādāts konkurētspējīgs normatīvais regulējums Baltijā ar nodarbināšanu saistītiem obligātiem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Darba devēja apmaksāto darba nespējas lapu dienu skaits samazināts līdzvērtīgi Lietuvas piemēram (Latvijā šobrīd darba devējs maksā no 2-8 dienai; Igaunijā no 4-5 dienai, Lietuvā no 1-2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Virsstundu apmaksas apmērs samazināts no 100% uz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Dīkstāves apmaksas apmērs samazināts no 100% uz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Palielināta gada summa un apjoms, kuru darba devējam apmaksājot par darbinieka ēdināšanu, mobilitāti, izmitināšanu, izglītību, veselību un attālināto darbu, neapliek papildus ar darba spēka nodokļiem. Šī kārtība paplašināta arī uz budžeta iestādēs, valsts un pašvaldību kapitālsabiedrībās un mazākos uzņēmumos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Palielināts brīvprātīgās veselības apdrošināšanas limits, kas netiek aplikts ar darbaspēka nodokļiem, tādējādi veicinot preventīvākas iedzīvotāju rūpes par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2023.gadā plānots izstrādāt un apstiprināt vidēja termiņa nodokļu politikas pamatnostādnes, ir vēlams jau tagad Valdības rīcības plānā pie darbības rezultātiem iekļaut konkrētus virzienus. </w:t>
            </w:r>
            <w:r w:rsidR="00000000" w:rsidRPr="00000000" w:rsidDel="00000000">
              <w:rPr>
                <w:b w:val="1"/>
                <w:rtl w:val="0"/>
              </w:rPr>
              <w:t xml:space="preserve">LTRK rosina 136. punktu papildināt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r w:rsidR="00000000" w:rsidRPr="00000000" w:rsidDel="00000000">
              <w:rPr>
                <w:rtl w:val="0"/>
              </w:rPr>
              <w:t xml:space="preserve">: Līdz 2023. gada 30. jūnijam izstrādāt un apstiprināt vidēja termiņa nodokļu politikas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Diferencētais ar IIN neapliekamais minimums aizstāts ar fiksēto neapliekamo minimumu, kopā ar sociālajiem un sadarbības partneriem izvērtējot un saskaņojot šīs pārejas pakāpeniskumu.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Vienkāršota darbaspēka nodokļu sistēmu, pārskatot trīskāršo progresivitāti;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Veikti grozījumi nodokļu likumdošanā, kuru rezultātā pašvaldības būtu finansiāli ieinteresētas piesaistīt un noturēt uzņēmumus savā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Izveidots dzīvesstila uzņēmumiem piemērotu un viegli administrējamu (gan uzņēmumam, gan valstij) nodokļu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Nodrošināts, ka akcīzes nodokļa likmes nav augstākas kā citur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Izvērtētas iespējas veikt grozījumus UIN un IIN likumos, kuri nodrošina, ka nerezidentiem - fiziskajām personām no OECD valstīm dividenžu izmaksas gadījumā atbilstoši nodokļu konvencijai Latvija ir vismaz tikpat pievilcīga kā pārējās Baltijas 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Nodrošināts, ka uzņēmumu ienākuma nodokļa likmes ir samērīgas ar Igaunijas un Lietuvas nodokļu režīmiem, tuvinot OECD ietvaros panāktajai minimālās likmes robežai.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w:t>
            </w:r>
            <w:r w:rsidR="00000000" w:rsidRPr="00000000" w:rsidDel="00000000">
              <w:rPr>
                <w:b w:val="1"/>
                <w:rtl w:val="0"/>
              </w:rPr>
              <w:t xml:space="preserve">103.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Vienošanās ar Igauniju un Lietuvu, lai vidējā termiņā visa Baltija būtu pašpietiekama elektroenerģijas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w:t>
            </w:r>
            <w:r w:rsidR="00000000" w:rsidRPr="00000000" w:rsidDel="00000000">
              <w:rPr>
                <w:b w:val="1"/>
                <w:rtl w:val="0"/>
              </w:rPr>
              <w:t xml:space="preserve">98.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 tiesisko regulējumu enerģijas pašražošanai.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Tiešo līniju regulējuma izmaiņas rūpnieciskajiem patērētājiem, paredzot ka SPRK vai sistēmas operatori nevar noteikt ierobežojums tiešo līniju izveidei lieliem rūpnieciskajiem patērētājiem izmantojot atjaunojamos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Izstrādāts regulējums, kā ietvaros galalietotāji varētu kļūt par attālinātiem elektroenerģijas ražotājiem, uz īpašuma tiesību vai citu tiesību pamata iegūstot daļu no attālināti uzstādītas elektroenerģijas ražošanas iekārtas un/vai iekārtas saražotā elektroenerģijas apjoma, ikviens daudzdzīvokļu nama iedzīvotājs varēs individuāli lemt par elektroenerģijas attālinātu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Apstrādes rūpniecības lietotāju pašpatēriņa pieaugums vismaz 25% nākamo 5 gadu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w:t>
            </w:r>
            <w:r w:rsidR="00000000" w:rsidRPr="00000000" w:rsidDel="00000000">
              <w:rPr>
                <w:b w:val="1"/>
                <w:rtl w:val="0"/>
              </w:rPr>
              <w:t xml:space="preserve">96.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r w:rsidR="00000000" w:rsidRPr="00000000" w:rsidDel="00000000">
              <w:rPr>
                <w:rtl w:val="0"/>
              </w:rPr>
              <w:t xml:space="preserve">: Apstrādes rūpniecības patērētāju tarifu šķērssubsīdiju sloga atcelšana (noslodzes, sprieguma pakāpes, plūsmas virziena un citas šķērssubsīdijas), lai uzlabot elektrifikācijas projektu rentabilitāti.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Elektroenerģijas īpatsvara pieaugums apstrādes rūpniecības primāro resursu patēriņā vismaz par 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w:t>
            </w:r>
            <w:r w:rsidR="00000000" w:rsidRPr="00000000" w:rsidDel="00000000">
              <w:rPr>
                <w:b w:val="1"/>
                <w:rtl w:val="0"/>
              </w:rPr>
              <w:t xml:space="preserve">95.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Pilnveidots tiesiskais regulējums, Ministru kabinetam piešķirot tiesības izdot noteikumus, kuros atsevišķos reģionos var paredzēt arī lielāku jaudas ierobežojumu, ja sadales tīklu tehniskās iespējas to pieļauj.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w:t>
            </w:r>
            <w:r w:rsidR="00000000" w:rsidRPr="00000000" w:rsidDel="00000000">
              <w:rPr>
                <w:b w:val="1"/>
                <w:rtl w:val="0"/>
              </w:rPr>
              <w:t xml:space="preserve">iekļaut 95.2. apakšpunktu</w:t>
            </w:r>
            <w:r w:rsidR="00000000" w:rsidRPr="00000000" w:rsidDel="00000000">
              <w:rPr>
                <w:rtl w:val="0"/>
              </w:rPr>
              <w:t xml:space="preserve">,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Valstij piederošo elektroenerģijas sadales un pārvades sistēmas operatoru kopējo izmaksu samazināšana īstenojot uzņēmumu restrukturizāciju un apvienošanu, ievērojot sistēmas operatoru neatkarības prasības, kā arī nosakot atbilstošu kapitāla atdeves reglējumu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Biržas piedāvājumu publiskošana lai samazinātu tirgus manipulācijas elektroenerģijas un dabasgāzes biržās.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Valstij piederošo sistēmas operatoru izmaksu samazinājums par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w:t>
            </w:r>
            <w:r w:rsidR="00000000" w:rsidRPr="00000000" w:rsidDel="00000000">
              <w:rPr>
                <w:b w:val="1"/>
                <w:rtl w:val="0"/>
              </w:rPr>
              <w:t xml:space="preserve">94.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Vēja elektrostacijās elektroenerģija tiek izstrādāta vismaz 1500 GWh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Saules parkos elektroenerģija tiek izstrādāta vismaz 175,2 GWh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w:t>
            </w:r>
            <w:r w:rsidR="00000000" w:rsidRPr="00000000" w:rsidDel="00000000">
              <w:rPr>
                <w:b w:val="1"/>
                <w:rtl w:val="0"/>
              </w:rPr>
              <w:t xml:space="preserve"> 93.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r w:rsidR="00000000" w:rsidRPr="00000000" w:rsidDel="00000000">
              <w:rPr>
                <w:rtl w:val="0"/>
              </w:rPr>
              <w:t xml:space="preserve"> Nodrošināsim, ka Latvija vidējā termiņā uz tirgus pamatiem saražo elektroenerģiju vismaz Latvijas patēriņa apjomā, tādējādi nodrošinot gan enerģētiskās drošības nepieciešamību, gan prognozējamu un konkurētspējīgu elektroenerģijas cenu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nodrošināta energoresursu 100%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Energoresursu cena ir ne lielāka kā vidējā cena reģionā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Administratīvo barjeru atcelšana elektroenerģijas tiešo līniju izbūvei, lai veicinātu jaunu elektroenerģijas jaudu izveidi rūpnīcu teritorijā vai tiešā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Izstrādāti noteikumi un atbalsta pasākumi, kuri motivē gan mājsaimniecības, gan uzņēmumus investēt elektroenerģijas mikroģenerācijas izbūvē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tīklu infrastruktūrā, lai tā spētu apkalpot jaudas pieaugumu un nebremzētu investīcijas jaunu elektroenerģijas ģenerāciju izveidē;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Samazināti nekonkurētspējīgie enerģijas sistēmas pakalpojumu tarifu nosacījumi biznesa patērētājiem.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ir būtiski </w:t>
            </w:r>
            <w:r w:rsidR="00000000" w:rsidRPr="00000000" w:rsidDel="00000000">
              <w:rPr>
                <w:b w:val="1"/>
                <w:rtl w:val="0"/>
              </w:rPr>
              <w:t xml:space="preserve">papildināt 78. punktu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r w:rsidR="00000000" w:rsidRPr="00000000" w:rsidDel="00000000">
              <w:rPr>
                <w:rtl w:val="0"/>
              </w:rPr>
              <w:t xml:space="preserve">: Ieviest kārtību, kas paredz katru gadu noteikt bāzes finansējumu vienai studiju vietai un uz to balstīt nākošā gada valsts budžeta atbilstošās pozīcijas.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Bāzes finansējums tiek pārskatīts katru gadu, veidojot nākošā gada valsts budžeta projektu.  Viena studiju vieta tiek finansēta atbilstoši reālajām tās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jau ilglaicīgi iestājas par principu “valsts budžeta nauda seko studentam” un par tautsaimniecību, valsts un studēt gribētāju pieprasījumu, un izglītības kvalitāti kā galvenajiem augstākās izglītības finansēšanas kritērijiem. Ir būtiski nodrošināt taisnīgu un godīgu konkurenci starp augstākās izglītības institūcijām (gan valsts, gan privātām). Novērtējam, ka daļa LTRK pausto priekšlikumu jau ir ņemti vērā, tomēr LTRK ieskatā ir nepieciešams </w:t>
            </w:r>
            <w:r w:rsidR="00000000" w:rsidRPr="00000000" w:rsidDel="00000000">
              <w:rPr>
                <w:b w:val="1"/>
                <w:rtl w:val="0"/>
              </w:rPr>
              <w:t xml:space="preserve">papildināt 77. punktu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Visām valsts akreditētajām augstākās izglītības iestādēm nodrošināt vienādu iespēju apkalpot valsts pasūtījumu un budžeta vietas, kā arī paredzēt atbilstošus nodokļu atvieglojumus uzņēmumiem un privātpersonām investējot augstākajā izglītībā, tādējādi veidojot labvēlīgu vidi investīcijām izglītībā un veicinot augstākās izglītības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Jaunajā finansēšanas modelī ietvert vienādu kārtību finansējuma piešķiršanai visām valsts akreditētām augstākās izglītības institīcijām STEM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Sagatavot nepieciešamos normatīvos aktus un veikt atbilstošus finanšu aprēķinus, lai mainītu augstākās izglītības budžeta vietu finansēšanas kārtību, nosakot, ka finansējums katrā izglītības jomā tiek piešķirts vislabāk sagatavotajiem pretendentiem, kuri pēc tam izvēlas akreditētu augstākās izglītības iestādi studijām atbilstošā studiju jomā un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sociālajiem un sadarbības partneriem izstrādāti un pilnveidoti augstākās izglītības un zinātnes finansēšanas modeļi, nodrošinot reālām izmaksām atbilstošu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nodrošināti godīgas konkurences apstākļi starp augstākās izglītības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Darbojas princips „valsts budžeta nauda seko studentam";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Augstākās izglītības finansēšana (un pārvaldība kopumā) balstās uz rezultatīviem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Pieaug augstākai izglītībai pieejamā finansējuma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24.03.2023. 12.25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24.03.2023. 12.25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Atzinumi_23-TA-712.docx</dc:title>
</cp:coreProperties>
</file>

<file path=docProps/custom.xml><?xml version="1.0" encoding="utf-8"?>
<Properties xmlns="http://schemas.openxmlformats.org/officeDocument/2006/custom-properties" xmlns:vt="http://schemas.openxmlformats.org/officeDocument/2006/docPropsVTypes"/>
</file>