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Speciālo ierīču izmantošanas kārtība A, B un C kategorijas kritiskās infrastruktūras objekta apsardzē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ir papildināma ar vēl vienu tiesību subjektu, proti, nekustamā īpašuma faktisko lietotāju, kura pienākumos ietilptu arī drošības pasākumu reglamentējošo dokumentu izstrāde, apsardzes darbinieku apmācība utml., jo nekustamā īpašuma īpašniekam/ tiesiskajam valdītājam ne vienmēr ir tiesības piekļūt KIO specifikai objekta nodrošināšanai. Ievērojot to, ka jaunās prasības ir iekļaujamas publisko iepirkumu dokumentācijā, paredzot pienākumu apsardzes darbiniekiem nodarboties ar kinētiskās iedarbības vai elektroniskās pretdarbības ierīcēm, tad nepieciešams pietiekams pārejas periods, kad stājas spēkā jaunās prasības, t.sk. arī paredzot šim pasākumam nepieciešamos papildu finanšu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noteikumu projekta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apkopoti priekšlikumi noteikumu projekta “Speciālo ierīču izmantošanas kārtība A, B un C kategorijas kritiskās infrastruktūras objekta apsardzē” uzlabošanai, nodrošinot tiesisko skaidrību, samērīgumu, drošību un praktisku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Jēdzienu definēšana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skaidri definētiem jēdzieniem (piemēram, attālināti vadāma ierīce, kinētiska iedarbība, elektroniska pretdarbība, notveršana, nosēdināšana), lai novērstu atšķirīgu interpretāciju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Samērīguma un pēdējā līdzekļa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speciālās ierīces drīkst izmantot tikai tad, ja citi drošības pasākumi nav efektīvi, un priekšroka dodama mazāk kaitējošām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Lēmuma pieņemšanas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kurš apsardzes sistēmā ir tiesīgs pieņemt lēmumu par speciālo ierīču pielietošanu, kā arī minimālās prasības draudu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Speciālo ierīču pielietošanas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dokumentēt katru speciālo ierīču pielietošanas gadījumu, norādot laiku, vietu, pamatojumu, pielietoto ierīci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Apsardzes darbinieku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speciālās ierīces drīkst lietot tikai apmācīti apsardzes darbinieki, paredzot regulāru apmācību un zināšanu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Apsardzes darbinieku apmācības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apmācību drīkst veikt tikai ražotājs, tā pilnvarots pārstāvis, akreditēta apmācību institūcija vai kompetentas iestādes apstiprināta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objekta īpašnieka vai tiesiskā valdītāja, kā arī apsardzes darbinieku atbildību par neatbilstošu speciālo ierīču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Sadarbība ar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sadarbības kārtību ar kompetentajām valsts institūcijām, tostarp gadījumos, ja attālināti vadāmā ierīce pieder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Gaisa telpas izmantošanas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kādā apjomā un augstumā atļauta rīcība gaisa telpā, nodrošinot atbilstību civilās aviācijas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Vispārīga drošības klauzul</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normu, ka speciālo ierīču pielietošana nedrīkst apdraudēt cilvēku dzīvību, veselību un trešo personu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Prasību ieviešanas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prasību ieviešanai, ņemot vērā institūciju budžeta plānošanas iespējas un objekta kritiskās infrastruktūras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Sistēmu gradācija atbilstoši objekta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minimālās un maksimālās aizsardzības prasības A, B un C kategorijas objektiem, nepieļaujot nesamērīgu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Speciālo ierīču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veikt iegādāto speciālo ierīču uzskaiti, norādot atbildīgo subjektu un minimālo uzskaites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Iegādājamo sistēmu izcelsmes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atļauts iegādāties tikai ES vai NATO dalībvalstīs ražotas sistēmas vai arī citas, kas atbilst noteiktiem drošības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Sertificēšanas un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speciālajām ierīcēm jābūt sertificētām vai atzītām kompetentā institūcijā pirms to ekspluatācijas.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Speciālo ierīču 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īpašas glabāšanas un piekļuves prasības speciālajām ierīcēm, tostarp piekļuves kontroli un izņemšanas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Dronu nosēdināšanas sistēmu izmantošana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papildu nosacījumus šādu sistēmu uzstādīšanai un izmantošanai pilsētvidē, ņemot vērā risku trešajām personām un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Ietekme uz IKT un citām elektroniskajām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veikt ietekmes izvērtējumu uz IKT un citām elektroniskajām sistēmām pirms elektroniskās pretdarbības sistēmu uzstādīšanas.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Riska un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veikt dokumentētu drošības, tehnisko un vides risku izvērtējumu pirms sistēmu ieviešanas un ekspluatācijas.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Smirnovs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18.02.2026.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18.02.2026.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Atzinumi_26-TA-95.docx</dc:title>
</cp:coreProperties>
</file>

<file path=docProps/custom.xml><?xml version="1.0" encoding="utf-8"?>
<Properties xmlns="http://schemas.openxmlformats.org/officeDocument/2006/custom-properties" xmlns:vt="http://schemas.openxmlformats.org/officeDocument/2006/docPropsVTypes"/>
</file>