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speciālās izglītības iestāžu tīkla sakārtošana un mācību vides un infrastruktūras, materiāltehniskā nodrošinājuma un mācību līdzekļu pilnveidošana, lai paaugstinātu speciālās izglītības iestāžu kapacitāti kvalitatīvas speciālās izglītības nodrošināšanā.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plānošanas reģionu vērtējumam atbalstāma ir iniciatīva sakārtot speciālās izglītības iestāžu kapacitāti kvalitatīvas speciālās izglītības nodrošināšanai, kas uzsvērts arī Izglītības un zinātnes ministrijas 20.06.2023. informatīvā ziņojuma ieteikumos "speciālās izglītības skolas slēgt/apvienot/u.c.". Vienlaikus, kā, piemēram, ir norādījis Kurzemes plānošanas reģions, tad pēc sarunām ar novadu izglītības pārvalžu vadītājiem secināms, ka MK noteikumu projekts neattiecas uz profesionālo programmu apgūšanas iespējām, jo šīs programmas nevar īstenot vispārējās izglītības iestādes, kas īsteno integrētās speciālās izglītības programmas. Tas palielina risku, ka šādi bērni un jaunieši nepaliek izglītības sistēmā, netiek sociāli integrēti, neapgūst dzīvei nepieciešamās prasmes profesionālajās programmās, jo daudzas ģimenes nevar finansiāli atļauties nogādāt bērnus uz blakus novadu profesionālajām skolām (ne visas skolas šādas programmas īsteno, savukārt, tuvākā, kurā īsteno, tā ir pārpildīta, jaunus audzēkņus nespēj uzņemt).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Ilgavižs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12. punktā minētajām pašvaldībām maksimāli plānotais Eiropas Reģionālās attīstības fonda finansējums ir šāds: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plānošanas reģionu vērtējumam aicinām sniegt papildus informāciju un skaidrojumu, pēc kādiem kritērijiem ir noteikts finansējuma apjoms katrai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Ilgavižs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plānošanas reģionu vērtējumam aicinām pie projekta attiecināmajām izmaksām papildus paredzēt atbilstošo speciālistu  konsultācijas / rekomendācijas finansējuma saņēmējiem par to, kādi uzlabojumi būtu veicami. Deinstitucionalizācijas projekta pieredze ir parādījusi, ka dažkārt pašvaldību speciālistiem (projektu vadītājiem un arī sociālo dienestu darbiniekiem) pietrūkst zināšanas par to, kādi uzlabojumi un kāds aprīkojums būtu nepieciešams un piemērots mērķa grupai.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Ilgavižs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05.07.2023.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05.07.2023.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