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norāda uz pretrunu starp likumprojekta “Grozījumi Dabas resursu nodokļa likumā” (turpmāk – Likumprojekts) 1. pantu un 4. panta daļu, kas attiecas uz Dabas resursu nodokļa likuma (turpmāk – Likums) 9.</w:t>
            </w:r>
            <w:r w:rsidR="00000000" w:rsidRPr="00000000" w:rsidDel="00000000">
              <w:rPr>
                <w:vertAlign w:val="superscript"/>
                <w:rtl w:val="0"/>
              </w:rPr>
              <w:t xml:space="preserve">2</w:t>
            </w:r>
            <w:r w:rsidR="00000000" w:rsidRPr="00000000" w:rsidDel="00000000">
              <w:rPr>
                <w:rtl w:val="0"/>
              </w:rPr>
              <w:t xml:space="preserve"> panta pirmo daļu. Proti, Likumprojekta 1. pants nosaka, ka </w:t>
            </w:r>
            <w:r w:rsidR="00000000" w:rsidRPr="00000000" w:rsidDel="00000000">
              <w:rPr>
                <w:i w:val="1"/>
                <w:rtl w:val="0"/>
              </w:rPr>
              <w:t xml:space="preserve">nodokļa maksātājs ir elektronisko smēķēšanas ierīču depozīta sistēmas operators</w:t>
            </w:r>
            <w:r w:rsidR="00000000" w:rsidRPr="00000000" w:rsidDel="00000000">
              <w:rPr>
                <w:rtl w:val="0"/>
              </w:rPr>
              <w:t xml:space="preserve">. Savukārt Likumprojekta 4. panta daļa, kas attiecas uz Likuma 9.</w:t>
            </w:r>
            <w:r w:rsidR="00000000" w:rsidRPr="00000000" w:rsidDel="00000000">
              <w:rPr>
                <w:vertAlign w:val="superscript"/>
                <w:rtl w:val="0"/>
              </w:rPr>
              <w:t xml:space="preserve">2</w:t>
            </w:r>
            <w:r w:rsidR="00000000" w:rsidRPr="00000000" w:rsidDel="00000000">
              <w:rPr>
                <w:rtl w:val="0"/>
              </w:rPr>
              <w:t xml:space="preserve"> panta pirmo daļu, nosaka, ka </w:t>
            </w:r>
            <w:r w:rsidR="00000000" w:rsidRPr="00000000" w:rsidDel="00000000">
              <w:rPr>
                <w:i w:val="1"/>
                <w:rtl w:val="0"/>
              </w:rPr>
              <w:t xml:space="preserve">nodokļa maksātājs noteiktā gadījumā nemaksā nodokli, ja tas ir noslēdzis līgumu ar elektronisko smēķēšanas ierīču depozīta sistēmas operatoru</w:t>
            </w:r>
            <w:r w:rsidR="00000000" w:rsidRPr="00000000" w:rsidDel="00000000">
              <w:rPr>
                <w:rtl w:val="0"/>
              </w:rPr>
              <w:t xml:space="preserve">. Tā kā pašreiz nav skaidrs elektronisko smēķēšanas ierīču depozīta sistēmas operatora statuss Likumprojekta ietvaros, Ekonomikas ministrija aicina novērst minēto pretrunu.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"Dabas resursu nodokļa likuma</w:t>
            </w:r>
            <w:r w:rsidR="00000000" w:rsidRPr="00000000" w:rsidDel="00000000">
              <w:rPr>
                <w:rtl w:val="0"/>
              </w:rPr>
              <w:t xml:space="preserve">6. pielikums</w:t>
            </w:r>
            <w:r w:rsidR="00000000" w:rsidRPr="00000000" w:rsidDel="00000000">
              <w:rPr>
                <w:rtl w:val="0"/>
              </w:rPr>
              <w:t xml:space="preserve">
</w:t>
            </w:r>
            <w:r w:rsidR="00000000" w:rsidRPr="00000000" w:rsidDel="00000000">
              <w:rPr>
                <w:b w:val="1"/>
                <w:rtl w:val="0"/>
              </w:rPr>
              <w:t xml:space="preserve">3. Nodokļa likmes par elektriskajām un elektroniskajām iekārtām, kuras noteiktas Atkritumu apsaimniekošanas likuma 1.panta 22.punktā, no 2018.gada 1.jūlija</w:t>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2181"/>
              <w:gridCol w:w="272"/>
              <w:gridCol w:w="187"/>
              <w:tblGridChange w:id="0">
                <w:tblGrid>
                  <w:gridCol w:w="0"/>
                  <w:gridCol w:w="2181"/>
                  <w:gridCol w:w="272"/>
                  <w:gridCol w:w="187"/>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Preces veids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Mērvienība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Likme</w:t>
                  </w:r>
                  <w:r w:rsidR="00000000" w:rsidRPr="00000000" w:rsidDel="00000000">
                    <w:rPr>
                      <w:sz w:val="24"/>
                      <w:rtl w:val="0"/>
                    </w:rPr>
                    <w:t xml:space="preserve">
</w:t>
                  </w:r>
                  <w:r w:rsidR="00000000" w:rsidRPr="00000000" w:rsidDel="00000000">
                    <w:rPr>
                      <w:sz w:val="24"/>
                      <w:rtl w:val="0"/>
                    </w:rPr>
                    <w:t xml:space="preserve">(euro)</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kategorija. Temperatūras maiņas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kategorija. Ekrāni, monitori un iekārtas ar ekrānu, kura virsmas laukums ir lielāks par 100 cm2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kategorija. Spuldzes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8,58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kategorija. Liela izmēra iekārtas (vismaz viens ārējais izmērs 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 kategorija. Liela izmēra iekārtas (vismaz viens ārējais izmērs pārsniedz 50 cm), tai skaitā mājsaimniecības preces, informācijas tehnoloģiju un telesakaru iekārtas, patērētāju iekārtas, gaismekļi, skaņu vai attēlu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1., 2. un 3. kategorijā ietilpstošās iekārtas un fotoelementu paneļus)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 kategorija. Fotoelementu paneļi un invertori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kategorija. Maza izmēra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 kategorija. Maza izmēra iekārtas (neviens ārējais izmērs nepārsniedz 50 cm), tai skaitā mājsaimniecības preces, plaša patēriņa audiovizuālas iekārtas, gaismekļi, skaņas vai attēlus demonstrējošas iekārtas, mūzikas ierīces, elektriski un elektroniski instrumenti, rotaļlietas, izklaides un sporta aprīkojums, medicīnas ierīces, monitoringa un kontroles instrumenti, automātiskie sadalītāji, ierīces elektriskās strāvas ražošanai un citas iekārtas (izņemot šā pielikuma 1., 2., 3. un 6.kategorijā ietilpstošās iekārtas)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5.2. kategorija. Elektroniskās smēķēšanas ierīces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gab.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2,00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 kategorija. Mazas informācijas tehnoloģiju un telekomunikāciju iekārtas (neviens ārējais izmērs nepārsniedz 50 cm)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kg</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3,50"</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šobrīd nav skaidrs, kādēļ nodokļa likme par elektroniskajām smēķēšanas ierīcēm ir izvēlēta tieši 2 euro/gab., Ekonomikas ministrija aicina papildināt Likumprojekta anotāciju ar datos, pētījumos vai citu valstu veiksmīgajā praksē balstītu pamatojumu izvēlētajam nodokļa likmes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aicina formulēt Likumprojekta mērķi atbilstoši </w:t>
            </w:r>
            <w:r w:rsidR="00000000" w:rsidRPr="00000000" w:rsidDel="00000000">
              <w:rPr>
                <w:i w:val="1"/>
                <w:rtl w:val="0"/>
              </w:rPr>
              <w:t xml:space="preserve">Vadlīnijām tiesību akta projekta sākotnējās ietekmes novērtēšanai un novērtējuma ziņojuma sagatavošanai Vienotajā tiesību aktu izstrādes un saskaņošanas portālā</w:t>
            </w:r>
            <w:r w:rsidR="00000000" w:rsidRPr="00000000" w:rsidDel="00000000">
              <w:rPr>
                <w:rtl w:val="0"/>
              </w:rPr>
              <w:t xml:space="preserve">, tā kā šobrīd Likumprojekta anotācijas 1.2. apakšsadaļā norādītā dabas resursu nodokļa noteikšana elektroniskajām smēķēšanas ierīcēm var kalpot par normatīvā akta mērķa sasniegšanas līdzekli, nevis pašu normatīvā akta mērķi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jaunas depozīta sistēmas ieviešana elektroniskajām smēķēšanas ierīcēm paredz papildu finanšu atbilstības sloga uzlikšanu attiecīgo ierīču ražotājiem un tirgotājiem, Ekonomikas ministrija aicina papildināt anotāciju ar detalizēto izklāstu pa izskatītajām alternatīvām, kas apliecinātu, ka ir pilnvērtīgi izvērtēti arī citi risinājumi, kas ļauj sasniegt Likumprojektā paredzētos mērķus, vienlaikus nepalielinot slogu atsevišķu produktu ražotājiem un tirgotājiem.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pašreizējā redakcijā ietekmēs uzņēmējdarbības vidi, Ekonomikas ministrija aicina atbilstoši izvērtēt šo ietekmi un attiecīgi papildināt Likumprojekta anotācijas 2.2. apakšsadaļu "Ietekme uz tautsaimniecību".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skar elektronisko smēķēšanas ierīču ražotājus un tirgotājus (paredzot pienākumu iesaistīties depozīta sistēmā), zvejas rīku ražotājus un tirgotājus (precizējot objektu, par kura masu ir aprēķināms nodoklis), kā arī plastmasas glāžu un to vāciņu ražotājus un tirgotājus (paredzot prasību piemērot ražotāja paplašinātās atbildības sistēmu) - tātad, paredz ieviest jaunus obligātus pienākumus komersantiem, Ekonomikas ministrija aicina papildināt Likumprojekta anotācijas 2.3. apakšsadaļu ar atbilstošu administratīvo izmaksu novērtējumu minētajām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Likumprojekts skar elektronisko smēķēšanas ierīču ražotājus un tirgotājus (paredzot pienākumu iesaistīties depozīta sistēmā), zvejas rīku ražotājus un tirgotājus (precizējot objektu, par kura masu ir aprēķināms nodoklis), kā arī plastmasas glāžu un to vāciņu ražotājus un tirgotājus (paredzot prasību piemērot ražotāja paplašinātās atbildības sistēmu), - tātad, paredz ieviest jaunus obligātus pienākumus komersantiem, Ekonomikas ministrija aicina papildināt Likumprojekta anotācijas 2.5. apakšsadaļu ar atbilstošu atbilstības izmaksu novērtējumu minētajām juridiskajām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Likumprojekta anotācijas 7.4. apakšsadaļā norādīts, ka tiks paplašinātas Valsts vides dienesta funkcijas un uzdevumi, papildus uzraudzībā un kontrolē nonākot jaunai depozīta sistēmai, Ekonomikas ministrija aicina papildināt Likumprojekta anotācijas 7.2. un 7.3. apakšsadaļu ar atbilstošu administratīvo un atbilstības izmaksu monetāru novērtējumu iestādei, kas nodrošinās jaunās sistēmas darbību un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Likumā norādīts, ka dabas resursu nodokļa mērķis ir saistīts ar dažādiem vides aizsardzības aspektiem, Ekonomikas ministrija aicina atbilstoši papildināt Likumprojekta anotācijas 8.1.6. apakšsadaļu, aprakstot Likumprojekta ietekmi uz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Likumprojekta anotācijas 8.1.11. apakšsadaļā ietvertais Likumprojekta ietekmes uz veselību apraksts ir ļoti lakonisks, turklāt bez datos balstīta pamatojuma un aprēķiniem. Turklāt jēdziens “depozīta maksa” netiek lietots nekur citur Likumprojektā vai tā anotācijā, līdz ar to nav viennozīmīgi skaidrs, uz kādu depozīta maksu šeit ir atsauce un kāds ir tās apmērs. Līdz ar to Ekonomikas ministrija aicina atbilstoši papildināt Likumprojekta anotācijas 8.1.11. apakšsadaļu, tostarp ietverot tajā datos vai citu valstu pieredzē balstītu pašreizējā apgalvojuma pamatojumu, kā arī nepieciešamos aprēķinus un minēto depozīta maksu un nodokļa maksājumu apmērus.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Skārleta Dombrovska-Latišenko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27.06.2025. 10.45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27.06.2025. 10.45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Atzinumi_25-TA-745.docx</dc:title>
</cp:coreProperties>
</file>

<file path=docProps/custom.xml><?xml version="1.0" encoding="utf-8"?>
<Properties xmlns="http://schemas.openxmlformats.org/officeDocument/2006/custom-properties" xmlns:vt="http://schemas.openxmlformats.org/officeDocument/2006/docPropsVTypes"/>
</file>