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24-TA-989: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kompensējamo medikamentu pieejamības uzlabošanas nodrošināšanu 2024. gadam un turpmākajiem gadiem”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2.sadaļā “Medikamentu kompensācijas sistēmas attīstība - jaunu medikamentu apmaksa un kompensācijas nosacījumu paplašināšana” norādīts vispārīgs apraksts par jaunu medikamentu apmaksu, kā arī aprēķins sniegts pa visām diagnozēm, izmantojot aptuvenas viena pacienta izmaksas un pacientu skaitu, vienlaikus norādīts, ka plānots paplašināt izrakstīšanas nosacījumus jau kompensējamo zāļu sarakstā esošajiem inovatīvajiem medikamentiem, nodrošinot tos arī citām diagnozēm. Nepieciešams papildināt informatīvā ziņojuma projektu ar detalizētāku skaidrojumu un aprēķiniem par jaunu medikamentu apmaksu, kā arī detalizēti norādot, kā tiks paplašināti izrakstīšanas nosacījumi pret šobrīd spēkā esošajiem.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novērst matemātisko neprecizitāti informatīvā ziņojuma projekta 2.tabulas “2023.gada papildu piešķirtā finansējuma izlietojuma sadalījumā pa diagnožu grupām un citiem apmaksu nosacījumiem un sasniegtie rādītāji” ailē “Kopā papildu piešķirtais finansējums 2023.gadā,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skaidrot informatīvā ziņojuma projekta 2.pielikuma “Pieejamais finansējums, faktiskā izpilde un indikatīvi prognozētais deficīts ambulatorajai ārstēšanai paredzēto zāļu un medicīnisko ierīču iegādes izdevumu kompensācijai 2022.-2025.gadam”  tabulas “2023.gada janvāris - decembris” 4.ailē norādīto “dotācija no vispārējiem ieņēmumiem, </w:t>
            </w:r>
            <w:r w:rsidR="00000000" w:rsidRPr="00000000" w:rsidDel="00000000">
              <w:rPr>
                <w:u w:val="single"/>
                <w:rtl w:val="0"/>
              </w:rPr>
              <w:t xml:space="preserve">t.sk. apropriācijas pārdale un virsplāna ieņēmumi no 2022.gada”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Nepieciešams precizēt informatīvā ziņojuma projekta 2.pielikuma “Pieejamais finansējums, faktiskā izpilde un indikatīvi prognozētais deficīts ambulatorajai ārstēšanai paredzēto zāļu un medicīnisko ierīču iegādes izdevumu kompensācijai 2022.-2025.gadam”  tabulu “Indikatīvā prognoze 2025.gadam”, ņemot vērā, ka atbilstoši likumam “Par valsts budžetu 2024. gadam un budžeta ietvaru 2024., 2025. un 2026. gadam” VM budžeta apakšprogrammā 33.03.00 “Kompensējamo medikamentu un materiālu apmaksāšana” 2025.gadam plānots finansējums EKK “Ieņēmumi no maksas pakalpojumiem un citi pašu ieņēmumi” 22 054 </w:t>
            </w:r>
            <w:r w:rsidR="00000000" w:rsidRPr="00000000" w:rsidDel="00000000">
              <w:rPr>
                <w:i w:val="1"/>
                <w:rtl w:val="0"/>
              </w:rPr>
              <w:t xml:space="preserve">euro </w:t>
            </w:r>
            <w:r w:rsidR="00000000" w:rsidRPr="00000000" w:rsidDel="00000000">
              <w:rPr>
                <w:rtl w:val="0"/>
              </w:rPr>
              <w:t xml:space="preserve">apmērā un EKK “Vispārējā kārtībā sadalāmā dotācija no vispārējiem ieņēmumiem” 214 085 897 </w:t>
            </w:r>
            <w:r w:rsidR="00000000" w:rsidRPr="00000000" w:rsidDel="00000000">
              <w:rPr>
                <w:i w:val="1"/>
                <w:rtl w:val="0"/>
              </w:rPr>
              <w:t xml:space="preserve">euro </w:t>
            </w:r>
            <w:r w:rsidR="00000000" w:rsidRPr="00000000" w:rsidDel="00000000">
              <w:rPr>
                <w:rtl w:val="0"/>
              </w:rPr>
              <w:t xml:space="preserve">apmērā. Vienlaikus nepieciešams precizēt tabulas 10.aili, t.i. mēneša “decembris” lietojot mēnesi “novembris”.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1.sadaļā “Kompensējamo medikamentu izdevumu deficīta segšana 2024. gadam, lai nodrošinātu medikamentozās ārstēšanas nepārtrauktību” norādīts, ka, ņemot vērā plānoto papildus novirzāmo finansējumu 2024. gadam, joprojām ir finanšu resursu deficīts kompensējamo medikamentu un materiālu apmaksāšanai, kas uz 2024. gada beigām tiek prognozēts 17 433 251 </w:t>
            </w:r>
            <w:r w:rsidR="00000000" w:rsidRPr="00000000" w:rsidDel="00000000">
              <w:rPr>
                <w:i w:val="1"/>
                <w:rtl w:val="0"/>
              </w:rPr>
              <w:t xml:space="preserve">euro </w:t>
            </w:r>
            <w:r w:rsidR="00000000" w:rsidRPr="00000000" w:rsidDel="00000000">
              <w:rPr>
                <w:rtl w:val="0"/>
              </w:rPr>
              <w:t xml:space="preserve">apmērā, savukārt uz 2025.gada beigām - 49 785 900 </w:t>
            </w:r>
            <w:r w:rsidR="00000000" w:rsidRPr="00000000" w:rsidDel="00000000">
              <w:rPr>
                <w:i w:val="1"/>
                <w:rtl w:val="0"/>
              </w:rPr>
              <w:t xml:space="preserve">euro </w:t>
            </w:r>
            <w:r w:rsidR="00000000" w:rsidRPr="00000000" w:rsidDel="00000000">
              <w:rPr>
                <w:rtl w:val="0"/>
              </w:rPr>
              <w:t xml:space="preserve">apmērā. Nepieciešams papildināt informatīvā ziņojuma projektu ar skaidrojumu par VM plānotajiem pasākumiem minētās situācijas risināšanai īstermiņā un ilgtermiņā.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informatīvā ziņojuma projekta 3.pielikuma “Papildus nepieciešamais finansējums kompensējamiem medikamentu pieejamībai 2024.gadam pa diagnožu grupām” ailē “Finanšu līdzekļu iztrūkums (+) /pārpalikums (-) 2024.gadam, EUR” norādītajām vairākām diagnozēm veidosies līdzekļu pārpalikums, nevis iztrūkums, savukārt ailē “Papildu  finansējums 2024.gada pieejamības nodrošināšanai**, EUR” tām pašām diagnozēm ir nepieciešams papildu finansējums, nepieciešams precizēt informāciju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finansējuma apmēru informatīvā ziņojuma projekta 3.tabulas “Pieejamais un indikatīvi prognozētais finansējums ambulatorajai ārstēšanai paredzēto zāļu un medicīnisko ierīču iegādes izdevumu kompensācija 2024.gadā” ailē “Indikatīvi prognozējamais kopējais deficīts uz 2024.gadam uz gada beigām, EUR” un zem 3.tabulas otrajā rindkopā, ņemot vērā, ka atbilstoši informatīvā ziņojuma projekta 2.pielikumā “Pieejamais finansējums, faktiskā izpilde un indikatīvi prognozētais deficīts ambulatorajai ārstēšanai paredzēto zāļu un medicīnisko ierīču iegādes izdevumu kompensācijai 2022.-2025.gadam” norādītajam prognozējamais kopējais deficīts uz 2024.gadu veidojas 33 191 162 </w:t>
            </w:r>
            <w:r w:rsidR="00000000" w:rsidRPr="00000000" w:rsidDel="00000000">
              <w:rPr>
                <w:i w:val="1"/>
                <w:rtl w:val="0"/>
              </w:rPr>
              <w:t xml:space="preserve">euro</w:t>
            </w:r>
            <w:r w:rsidR="00000000" w:rsidRPr="00000000" w:rsidDel="00000000">
              <w:rPr>
                <w:rtl w:val="0"/>
              </w:rPr>
              <w:t xml:space="preserve">, nevis 33 957 911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24-TA-989</w:t>
    </w:r>
    <w:r>
      <w:br/>
    </w:r>
    <w:r w:rsidR="00000000" w:rsidRPr="00000000" w:rsidDel="00000000">
      <w:rPr>
        <w:rtl w:val="0"/>
      </w:rPr>
      <w:t xml:space="preserve">Izdrukāts 19.04.2024. 13.06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24-TA-989</w:t>
    </w:r>
    <w:r>
      <w:br/>
    </w:r>
    <w:r w:rsidR="00000000" w:rsidRPr="00000000" w:rsidDel="00000000">
      <w:rPr>
        <w:rtl w:val="0"/>
      </w:rPr>
      <w:t xml:space="preserve">Izdrukāts 19.04.2024. 13.06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Atzinumi_24-TA-989.docx</dc:title>
</cp:coreProperties>
</file>

<file path=docProps/custom.xml><?xml version="1.0" encoding="utf-8"?>
<Properties xmlns="http://schemas.openxmlformats.org/officeDocument/2006/custom-properties" xmlns:vt="http://schemas.openxmlformats.org/officeDocument/2006/docPropsVTypes"/>
</file>