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“VVD APUS - Atkritumu pārvadājumu uzskaites sistēmas transformācija par kompleksu atkritumu aprites uzskaites un kontroles informācijas sistēmu”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vides dienestu par finansējuma saņēmēju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rīkojuma projekta 4. punktu precizētajā redakcijā. Norādām, ka šobrīd rīkojuma projekta 4. punkts pēc būtības skaidro finansējuma saņēmēja tiesības, pienākumus un atbildību, kas jau izriet no Ministru kabineta 2022. gada 14. jūlija noteikumiem Nr. 435 "Eiropas Savienības Atveseļošanas un noturības mehānisma plāna 2. komponentes "Digitālā transformācija"2.1. reformu un investīciju virziena "Valsts pārvaldes, tai skaitā pašvaldību, digitālā transformācija" īstenošanas noteikumi" (turpmāk - noteikumi Nr. 435), tai skaitā no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17.03.2023.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17.03.2023.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Atzinumi_22-TA-3813.docx</dc:title>
</cp:coreProperties>
</file>

<file path=docProps/custom.xml><?xml version="1.0" encoding="utf-8"?>
<Properties xmlns="http://schemas.openxmlformats.org/officeDocument/2006/custom-properties" xmlns:vt="http://schemas.openxmlformats.org/officeDocument/2006/docPropsVTypes"/>
</file>