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479F2" w14:textId="77777777" w:rsidR="00BE23EE" w:rsidRPr="00BE23EE" w:rsidRDefault="00BE23EE" w:rsidP="00BE23EE">
      <w:pPr>
        <w:spacing w:after="0" w:line="240" w:lineRule="auto"/>
        <w:jc w:val="both"/>
        <w:rPr>
          <w:rFonts w:ascii="Times New Roman" w:hAnsi="Times New Roman" w:cs="Times New Roman"/>
          <w:sz w:val="24"/>
          <w:szCs w:val="24"/>
        </w:rPr>
      </w:pPr>
      <w:proofErr w:type="spellStart"/>
      <w:r w:rsidRPr="00BE23EE">
        <w:rPr>
          <w:rFonts w:ascii="Times New Roman" w:hAnsi="Times New Roman" w:cs="Times New Roman"/>
          <w:sz w:val="24"/>
          <w:szCs w:val="24"/>
        </w:rPr>
        <w:t>From</w:t>
      </w:r>
      <w:proofErr w:type="spellEnd"/>
      <w:r w:rsidRPr="00BE23EE">
        <w:rPr>
          <w:rFonts w:ascii="Times New Roman" w:hAnsi="Times New Roman" w:cs="Times New Roman"/>
          <w:sz w:val="24"/>
          <w:szCs w:val="24"/>
        </w:rPr>
        <w:t>:</w:t>
      </w:r>
      <w:r w:rsidRPr="00BE23EE">
        <w:rPr>
          <w:rFonts w:ascii="Times New Roman" w:hAnsi="Times New Roman" w:cs="Times New Roman"/>
          <w:sz w:val="24"/>
          <w:szCs w:val="24"/>
        </w:rPr>
        <w:tab/>
        <w:t>Jānis Bērziņš &lt;Janis.Berzins@tm.gov.lv&gt;</w:t>
      </w:r>
    </w:p>
    <w:p w14:paraId="5237026B" w14:textId="77777777" w:rsidR="00BE23EE" w:rsidRPr="00BE23EE" w:rsidRDefault="00BE23EE" w:rsidP="00BE23EE">
      <w:pPr>
        <w:spacing w:after="0" w:line="240" w:lineRule="auto"/>
        <w:jc w:val="both"/>
        <w:rPr>
          <w:rFonts w:ascii="Times New Roman" w:hAnsi="Times New Roman" w:cs="Times New Roman"/>
          <w:sz w:val="24"/>
          <w:szCs w:val="24"/>
        </w:rPr>
      </w:pPr>
      <w:proofErr w:type="spellStart"/>
      <w:r w:rsidRPr="00BE23EE">
        <w:rPr>
          <w:rFonts w:ascii="Times New Roman" w:hAnsi="Times New Roman" w:cs="Times New Roman"/>
          <w:sz w:val="24"/>
          <w:szCs w:val="24"/>
        </w:rPr>
        <w:t>Sent</w:t>
      </w:r>
      <w:proofErr w:type="spellEnd"/>
      <w:r w:rsidRPr="00BE23EE">
        <w:rPr>
          <w:rFonts w:ascii="Times New Roman" w:hAnsi="Times New Roman" w:cs="Times New Roman"/>
          <w:sz w:val="24"/>
          <w:szCs w:val="24"/>
        </w:rPr>
        <w:t>:</w:t>
      </w:r>
      <w:r w:rsidRPr="00BE23EE">
        <w:rPr>
          <w:rFonts w:ascii="Times New Roman" w:hAnsi="Times New Roman" w:cs="Times New Roman"/>
          <w:sz w:val="24"/>
          <w:szCs w:val="24"/>
        </w:rPr>
        <w:tab/>
        <w:t>otrdiena, 21.  jūl.. 2020.  gada  15:02</w:t>
      </w:r>
    </w:p>
    <w:p w14:paraId="2364A3FB"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To:</w:t>
      </w:r>
      <w:r w:rsidRPr="00BE23EE">
        <w:rPr>
          <w:rFonts w:ascii="Times New Roman" w:hAnsi="Times New Roman" w:cs="Times New Roman"/>
          <w:sz w:val="24"/>
          <w:szCs w:val="24"/>
        </w:rPr>
        <w:tab/>
        <w:t>Pasts</w:t>
      </w:r>
    </w:p>
    <w:p w14:paraId="66F3973E" w14:textId="77777777" w:rsidR="00BE23EE" w:rsidRPr="00BE23EE" w:rsidRDefault="00BE23EE" w:rsidP="00BE23EE">
      <w:pPr>
        <w:spacing w:after="0" w:line="240" w:lineRule="auto"/>
        <w:jc w:val="both"/>
        <w:rPr>
          <w:rFonts w:ascii="Times New Roman" w:hAnsi="Times New Roman" w:cs="Times New Roman"/>
          <w:sz w:val="24"/>
          <w:szCs w:val="24"/>
        </w:rPr>
      </w:pPr>
      <w:proofErr w:type="spellStart"/>
      <w:r w:rsidRPr="00BE23EE">
        <w:rPr>
          <w:rFonts w:ascii="Times New Roman" w:hAnsi="Times New Roman" w:cs="Times New Roman"/>
          <w:sz w:val="24"/>
          <w:szCs w:val="24"/>
        </w:rPr>
        <w:t>Cc</w:t>
      </w:r>
      <w:proofErr w:type="spellEnd"/>
      <w:r w:rsidRPr="00BE23EE">
        <w:rPr>
          <w:rFonts w:ascii="Times New Roman" w:hAnsi="Times New Roman" w:cs="Times New Roman"/>
          <w:sz w:val="24"/>
          <w:szCs w:val="24"/>
        </w:rPr>
        <w:t>:</w:t>
      </w:r>
      <w:r w:rsidRPr="00BE23EE">
        <w:rPr>
          <w:rFonts w:ascii="Times New Roman" w:hAnsi="Times New Roman" w:cs="Times New Roman"/>
          <w:sz w:val="24"/>
          <w:szCs w:val="24"/>
        </w:rPr>
        <w:tab/>
        <w:t>Toms Dreika; Zanda Stara; Sandris Rāgs</w:t>
      </w:r>
    </w:p>
    <w:p w14:paraId="29FE152B" w14:textId="77777777" w:rsidR="00BE23EE" w:rsidRPr="00BE23EE" w:rsidRDefault="00BE23EE" w:rsidP="00BE23EE">
      <w:pPr>
        <w:spacing w:after="0" w:line="240" w:lineRule="auto"/>
        <w:jc w:val="both"/>
        <w:rPr>
          <w:rFonts w:ascii="Times New Roman" w:hAnsi="Times New Roman" w:cs="Times New Roman"/>
          <w:sz w:val="24"/>
          <w:szCs w:val="24"/>
        </w:rPr>
      </w:pPr>
      <w:proofErr w:type="spellStart"/>
      <w:r w:rsidRPr="00BE23EE">
        <w:rPr>
          <w:rFonts w:ascii="Times New Roman" w:hAnsi="Times New Roman" w:cs="Times New Roman"/>
          <w:sz w:val="24"/>
          <w:szCs w:val="24"/>
        </w:rPr>
        <w:t>Subject</w:t>
      </w:r>
      <w:proofErr w:type="spellEnd"/>
      <w:r w:rsidRPr="00BE23EE">
        <w:rPr>
          <w:rFonts w:ascii="Times New Roman" w:hAnsi="Times New Roman" w:cs="Times New Roman"/>
          <w:sz w:val="24"/>
          <w:szCs w:val="24"/>
        </w:rPr>
        <w:t>:</w:t>
      </w:r>
      <w:r w:rsidRPr="00BE23EE">
        <w:rPr>
          <w:rFonts w:ascii="Times New Roman" w:hAnsi="Times New Roman" w:cs="Times New Roman"/>
          <w:sz w:val="24"/>
          <w:szCs w:val="24"/>
        </w:rPr>
        <w:tab/>
        <w:t>VSS-395</w:t>
      </w:r>
    </w:p>
    <w:p w14:paraId="137EDED4" w14:textId="77777777" w:rsidR="00BE23EE" w:rsidRPr="00BE23EE" w:rsidRDefault="00BE23EE" w:rsidP="00BE23EE">
      <w:pPr>
        <w:spacing w:after="0" w:line="240" w:lineRule="auto"/>
        <w:jc w:val="both"/>
        <w:rPr>
          <w:rFonts w:ascii="Times New Roman" w:hAnsi="Times New Roman" w:cs="Times New Roman"/>
          <w:sz w:val="24"/>
          <w:szCs w:val="24"/>
        </w:rPr>
      </w:pPr>
    </w:p>
    <w:p w14:paraId="05371415" w14:textId="77777777" w:rsidR="00BE23EE" w:rsidRPr="00BE23EE" w:rsidRDefault="00BE23EE" w:rsidP="00BE23EE">
      <w:pPr>
        <w:spacing w:after="0" w:line="240" w:lineRule="auto"/>
        <w:jc w:val="both"/>
        <w:rPr>
          <w:rFonts w:ascii="Times New Roman" w:hAnsi="Times New Roman" w:cs="Times New Roman"/>
          <w:sz w:val="24"/>
          <w:szCs w:val="24"/>
        </w:rPr>
      </w:pPr>
      <w:proofErr w:type="spellStart"/>
      <w:r w:rsidRPr="00BE23EE">
        <w:rPr>
          <w:rFonts w:ascii="Times New Roman" w:hAnsi="Times New Roman" w:cs="Times New Roman"/>
          <w:sz w:val="24"/>
          <w:szCs w:val="24"/>
        </w:rPr>
        <w:t>Follow</w:t>
      </w:r>
      <w:proofErr w:type="spellEnd"/>
      <w:r w:rsidRPr="00BE23EE">
        <w:rPr>
          <w:rFonts w:ascii="Times New Roman" w:hAnsi="Times New Roman" w:cs="Times New Roman"/>
          <w:sz w:val="24"/>
          <w:szCs w:val="24"/>
        </w:rPr>
        <w:t xml:space="preserve"> </w:t>
      </w:r>
      <w:proofErr w:type="spellStart"/>
      <w:r w:rsidRPr="00BE23EE">
        <w:rPr>
          <w:rFonts w:ascii="Times New Roman" w:hAnsi="Times New Roman" w:cs="Times New Roman"/>
          <w:sz w:val="24"/>
          <w:szCs w:val="24"/>
        </w:rPr>
        <w:t>Up</w:t>
      </w:r>
      <w:proofErr w:type="spellEnd"/>
      <w:r w:rsidRPr="00BE23EE">
        <w:rPr>
          <w:rFonts w:ascii="Times New Roman" w:hAnsi="Times New Roman" w:cs="Times New Roman"/>
          <w:sz w:val="24"/>
          <w:szCs w:val="24"/>
        </w:rPr>
        <w:t xml:space="preserve"> </w:t>
      </w:r>
      <w:proofErr w:type="spellStart"/>
      <w:r w:rsidRPr="00BE23EE">
        <w:rPr>
          <w:rFonts w:ascii="Times New Roman" w:hAnsi="Times New Roman" w:cs="Times New Roman"/>
          <w:sz w:val="24"/>
          <w:szCs w:val="24"/>
        </w:rPr>
        <w:t>Flag</w:t>
      </w:r>
      <w:proofErr w:type="spellEnd"/>
      <w:r w:rsidRPr="00BE23EE">
        <w:rPr>
          <w:rFonts w:ascii="Times New Roman" w:hAnsi="Times New Roman" w:cs="Times New Roman"/>
          <w:sz w:val="24"/>
          <w:szCs w:val="24"/>
        </w:rPr>
        <w:t>:</w:t>
      </w:r>
      <w:r w:rsidRPr="00BE23EE">
        <w:rPr>
          <w:rFonts w:ascii="Times New Roman" w:hAnsi="Times New Roman" w:cs="Times New Roman"/>
          <w:sz w:val="24"/>
          <w:szCs w:val="24"/>
        </w:rPr>
        <w:tab/>
      </w:r>
      <w:proofErr w:type="spellStart"/>
      <w:r w:rsidRPr="00BE23EE">
        <w:rPr>
          <w:rFonts w:ascii="Times New Roman" w:hAnsi="Times New Roman" w:cs="Times New Roman"/>
          <w:sz w:val="24"/>
          <w:szCs w:val="24"/>
        </w:rPr>
        <w:t>Follow</w:t>
      </w:r>
      <w:proofErr w:type="spellEnd"/>
      <w:r w:rsidRPr="00BE23EE">
        <w:rPr>
          <w:rFonts w:ascii="Times New Roman" w:hAnsi="Times New Roman" w:cs="Times New Roman"/>
          <w:sz w:val="24"/>
          <w:szCs w:val="24"/>
        </w:rPr>
        <w:t xml:space="preserve"> </w:t>
      </w:r>
      <w:proofErr w:type="spellStart"/>
      <w:r w:rsidRPr="00BE23EE">
        <w:rPr>
          <w:rFonts w:ascii="Times New Roman" w:hAnsi="Times New Roman" w:cs="Times New Roman"/>
          <w:sz w:val="24"/>
          <w:szCs w:val="24"/>
        </w:rPr>
        <w:t>up</w:t>
      </w:r>
      <w:proofErr w:type="spellEnd"/>
    </w:p>
    <w:p w14:paraId="2D0A0B6C" w14:textId="77777777" w:rsidR="00BE23EE" w:rsidRPr="00BE23EE" w:rsidRDefault="00BE23EE" w:rsidP="00BE23EE">
      <w:pPr>
        <w:spacing w:after="0" w:line="240" w:lineRule="auto"/>
        <w:jc w:val="both"/>
        <w:rPr>
          <w:rFonts w:ascii="Times New Roman" w:hAnsi="Times New Roman" w:cs="Times New Roman"/>
          <w:sz w:val="24"/>
          <w:szCs w:val="24"/>
        </w:rPr>
      </w:pPr>
      <w:proofErr w:type="spellStart"/>
      <w:r w:rsidRPr="00BE23EE">
        <w:rPr>
          <w:rFonts w:ascii="Times New Roman" w:hAnsi="Times New Roman" w:cs="Times New Roman"/>
          <w:sz w:val="24"/>
          <w:szCs w:val="24"/>
        </w:rPr>
        <w:t>Flag</w:t>
      </w:r>
      <w:proofErr w:type="spellEnd"/>
      <w:r w:rsidRPr="00BE23EE">
        <w:rPr>
          <w:rFonts w:ascii="Times New Roman" w:hAnsi="Times New Roman" w:cs="Times New Roman"/>
          <w:sz w:val="24"/>
          <w:szCs w:val="24"/>
        </w:rPr>
        <w:t xml:space="preserve"> Status:</w:t>
      </w:r>
      <w:r w:rsidRPr="00BE23EE">
        <w:rPr>
          <w:rFonts w:ascii="Times New Roman" w:hAnsi="Times New Roman" w:cs="Times New Roman"/>
          <w:sz w:val="24"/>
          <w:szCs w:val="24"/>
        </w:rPr>
        <w:tab/>
      </w:r>
      <w:proofErr w:type="spellStart"/>
      <w:r w:rsidRPr="00BE23EE">
        <w:rPr>
          <w:rFonts w:ascii="Times New Roman" w:hAnsi="Times New Roman" w:cs="Times New Roman"/>
          <w:sz w:val="24"/>
          <w:szCs w:val="24"/>
        </w:rPr>
        <w:t>Completed</w:t>
      </w:r>
      <w:proofErr w:type="spellEnd"/>
    </w:p>
    <w:p w14:paraId="75650500" w14:textId="77777777" w:rsidR="00BE23EE" w:rsidRPr="00BE23EE" w:rsidRDefault="00BE23EE" w:rsidP="00BE23EE">
      <w:pPr>
        <w:spacing w:after="0" w:line="240" w:lineRule="auto"/>
        <w:jc w:val="both"/>
        <w:rPr>
          <w:rFonts w:ascii="Times New Roman" w:hAnsi="Times New Roman" w:cs="Times New Roman"/>
          <w:sz w:val="24"/>
          <w:szCs w:val="24"/>
        </w:rPr>
      </w:pPr>
    </w:p>
    <w:p w14:paraId="3F7DB7E0"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w:t>
      </w:r>
    </w:p>
    <w:p w14:paraId="5503F559"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Labdien!</w:t>
      </w:r>
    </w:p>
    <w:p w14:paraId="13E84388" w14:textId="77777777" w:rsidR="00BE23EE" w:rsidRPr="00BE23EE" w:rsidRDefault="00BE23EE" w:rsidP="00BE23EE">
      <w:pPr>
        <w:spacing w:after="0" w:line="240" w:lineRule="auto"/>
        <w:jc w:val="both"/>
        <w:rPr>
          <w:rFonts w:ascii="Times New Roman" w:hAnsi="Times New Roman" w:cs="Times New Roman"/>
          <w:sz w:val="24"/>
          <w:szCs w:val="24"/>
        </w:rPr>
      </w:pPr>
    </w:p>
    <w:p w14:paraId="1E75A6C4" w14:textId="19FC30B8"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Tieslietu ministrija ir izvērtējusi Ekonomikas ministrijas precizēto Ministru kabineta rīkojuma projektu "Par valsts īpašuma objekta Sila ielā 7, Babītē, Babītes pagastā, Babītes novadā, nodošanu privatizācijai" (VSS-395) (turpmāk – projekts), tam pievienoto sākotnējās ietekmes novērtējuma ziņojumu (anotāciju) un izziņu par atzinumos izteiktajiem iebildumiem, un neatbalsta projekta tālāku virzību, uzturot iepriekš izteiktos iebildumus, ņemot vērā, ka Ekonomikas ministrijas veiktie precizējumi anotācijā un izziņā ietvertie pamatojumi ir neatbilstoši Tieslietu ministrijas iebildumiem.</w:t>
      </w:r>
    </w:p>
    <w:p w14:paraId="228B7C1B"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w:t>
      </w:r>
    </w:p>
    <w:p w14:paraId="708EB2DA" w14:textId="2C9139C3"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Atkārtoti norādām, ka nevienā normatīvajā aktā nav paredzēts, ka valsts institūcijām un pašvaldībām zemes piekritības valstij vai pašvaldībām izvērtēšanai nepakļaujas tādas zemes vienības, uz kurām atrodošās ēkas (būves) atzītas par bezīpašnieka lietu. Saskaņā ar Ministru kabineta 2016. gada 29. marta noteikumu Nr. 190 "Kārtība, kādā pieņem lēmumu par rezerves zemes fondā ieskaitīto zemes gabalu un īpašuma tiesību atjaunošanai neizmantoto zemes gabalu piederību vai piekritību" 5.1. apakšpunktu ministrijas izvērtē, kuras Valsts zemes dienesta sagatavoto Nekustamā īpašuma valsts kadastra informācijas sistēmā reģistrēto datu par rezerves</w:t>
      </w:r>
      <w:r>
        <w:rPr>
          <w:rFonts w:ascii="Times New Roman" w:hAnsi="Times New Roman" w:cs="Times New Roman"/>
          <w:sz w:val="24"/>
          <w:szCs w:val="24"/>
        </w:rPr>
        <w:t xml:space="preserve"> </w:t>
      </w:r>
      <w:r w:rsidRPr="00BE23EE">
        <w:rPr>
          <w:rFonts w:ascii="Times New Roman" w:hAnsi="Times New Roman" w:cs="Times New Roman"/>
          <w:sz w:val="24"/>
          <w:szCs w:val="24"/>
        </w:rPr>
        <w:t xml:space="preserve">zemes fondā ieskaitītiem zemes gabaliem un zemes gabaliem, kas nav izmantoti īpašuma tiesību atjaunošanai, tai skaitā par kopīpašumā esošajām domājamām daļām, kurām nav noteikta piederība vai piekritība katrā administratīvajā teritorijā, sarakstā norādītās zemes vienības piekrīt vai pieder valstij un ir ierakstāmas zemesgrāmatā uz attiecīgās ministrijas vārda saskaņā ar likumu "Par valsts un pašvaldību zemes īpašuma tiesībām un to nostiprināšanu zemesgrāmatās" un izdara sarakstā par tām atzīmi. Zemes piekritības valstij vai pašvaldībām atbilstoši likumam "Par valsts un pašvaldību zemes īpašuma tiesībām un to nostiprināšanu zemesgrāmatās" izvērtēšana noteikta arī pirms zemes reformas pabeigšanas izdotā Ministru kabineta 2009. gada 1. septembra noteikumu Nr. 996 "Kārtība, kādā nosaka valstij un pašvaldībām piekrītošo lauku apvidu zemi, kura turpmāk izmantojama zemes reformas pabeigšanai, kā arī valstij un </w:t>
      </w:r>
    </w:p>
    <w:p w14:paraId="5B2CA468" w14:textId="001986C4"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pašvaldībām piederošo un piekrītošo zemi" 2.2. apakšpunktā, kurā noteikts, ka Ministru kabinets izdod rīkojumu par zemes piederību vai piekritību valstij, ja zeme atbilstoši likumam "Par valsts un pašvaldību zemes īpašuma tiesībām un to nostiprināšanu zemesgrāmatās" zemes reformas laikā piekrīt valstij un ir ierakstāma zemesgrāmatās uz valsts vārda. No minētā izriet, ka zemes piekritības valstij izvērtēšanai pakļaujas arī tās zemes vienības, kuras piekrīt valstij saskaņā ar likuma "Par valsts un pašvaldību zemes īpašuma tiesībām un to nostiprināšanu zemesgrāmatās" 4.1 panta pirmās daļas 1. punktu. Līdz ar minēto izziņā sniegtais Ekonomikas ministrijas pamatojums uz Tieslietu ministrijas 1. iebildumu par to, ka valsts īpašuma tiesības uz zemes vienību ar kadastra apzīmējumu 8048 004 0494 ir nodibinātas uz likuma pamata no 2012. gada </w:t>
      </w:r>
    </w:p>
    <w:p w14:paraId="5AAC1168"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lastRenderedPageBreak/>
        <w:t xml:space="preserve">16. februāra ir nepamatots. </w:t>
      </w:r>
    </w:p>
    <w:p w14:paraId="1D563E18" w14:textId="7B421985"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Papildus jānorāda, ka minētās zemes vienības piekritību pašvaldībai nosaka likums, proti, Zemes pārvaldības likuma 17.panta sestā daļa, nevis konkrētās pašvaldības lēmums. Tādējādi pašvaldības lēmuma grozīšana nemaina to, ko paredz Zemes pārvaldības likuma 17.panta sestā daļa, proti, ka […]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p>
    <w:p w14:paraId="7A2B532F" w14:textId="20AA2A5C"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Noslēgumā informējam, ka par tiesību akta projekta saturu un atbilstību normatīvajiem aktiem, kā arī izpildīšanas iespējamību ir atbildīgs tā virzītājs izskatīšanai </w:t>
      </w:r>
      <w:bookmarkStart w:id="0" w:name="_GoBack"/>
      <w:bookmarkEnd w:id="0"/>
      <w:r w:rsidRPr="00BE23EE">
        <w:rPr>
          <w:rFonts w:ascii="Times New Roman" w:hAnsi="Times New Roman" w:cs="Times New Roman"/>
          <w:sz w:val="24"/>
          <w:szCs w:val="24"/>
        </w:rPr>
        <w:t>Ministru kabinetā.</w:t>
      </w:r>
    </w:p>
    <w:p w14:paraId="6B231CB2"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w:t>
      </w:r>
    </w:p>
    <w:p w14:paraId="3D10C4C9"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w:t>
      </w:r>
    </w:p>
    <w:p w14:paraId="475A310E"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Ar cieņu</w:t>
      </w:r>
    </w:p>
    <w:p w14:paraId="6A18BE59"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Jānis Bērziņš</w:t>
      </w:r>
    </w:p>
    <w:p w14:paraId="524B5B7C"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Tieslietu ministrijas</w:t>
      </w:r>
    </w:p>
    <w:p w14:paraId="30018741"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Civiltiesību departamenta</w:t>
      </w:r>
    </w:p>
    <w:p w14:paraId="45AE8EF9"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Vispārējo civiltiesību nodaļas</w:t>
      </w:r>
    </w:p>
    <w:p w14:paraId="54AFAF70"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jurists</w:t>
      </w:r>
    </w:p>
    <w:p w14:paraId="72EA3260"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w:t>
      </w:r>
    </w:p>
    <w:p w14:paraId="1D9B9326"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e-pasts: Janis.Berzins@tm.gov.lv</w:t>
      </w:r>
    </w:p>
    <w:p w14:paraId="7468DF76"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Tālrunis: +371 67036934</w:t>
      </w:r>
    </w:p>
    <w:p w14:paraId="765196B8"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 </w:t>
      </w:r>
    </w:p>
    <w:p w14:paraId="330FFD91" w14:textId="77777777" w:rsidR="00BE23EE" w:rsidRPr="00BE23EE" w:rsidRDefault="00BE23EE" w:rsidP="00BE23EE">
      <w:pPr>
        <w:spacing w:after="0" w:line="240" w:lineRule="auto"/>
        <w:jc w:val="both"/>
        <w:rPr>
          <w:rFonts w:ascii="Times New Roman" w:hAnsi="Times New Roman" w:cs="Times New Roman"/>
          <w:sz w:val="24"/>
          <w:szCs w:val="24"/>
        </w:rPr>
      </w:pPr>
    </w:p>
    <w:p w14:paraId="077F6CBC" w14:textId="77777777" w:rsidR="00BE23EE" w:rsidRPr="00BE23EE" w:rsidRDefault="00BE23EE" w:rsidP="00BE23EE">
      <w:pPr>
        <w:spacing w:after="0" w:line="240" w:lineRule="auto"/>
        <w:jc w:val="both"/>
        <w:rPr>
          <w:rFonts w:ascii="Times New Roman" w:hAnsi="Times New Roman" w:cs="Times New Roman"/>
          <w:sz w:val="24"/>
          <w:szCs w:val="24"/>
        </w:rPr>
      </w:pPr>
    </w:p>
    <w:p w14:paraId="3E7B1F98"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Šis e-pasts un tā pielikumā esošie dokumenti var saturēt ierobežotas pieejamības </w:t>
      </w:r>
    </w:p>
    <w:p w14:paraId="1477E602"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informāciju, cita starpā fizisko personu datus, kas adresēta tikai tā saņēmējam un </w:t>
      </w:r>
    </w:p>
    <w:p w14:paraId="56BFA1C2"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izmantojama tikai leģitīmiem mērķiem. Ja esat saņēmis šo e-pastu kļūdas dēļ, vai nav </w:t>
      </w:r>
    </w:p>
    <w:p w14:paraId="10AD70D0"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pamatota mērķa ierobežotas pieejamības informācijas, cita starpā fizisko personu datu, </w:t>
      </w:r>
    </w:p>
    <w:p w14:paraId="68CD8D2A"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apstrādei, Jums nav tiesību izmantot vai pārsūtīt šajā e-pastā un tam pievienotajos </w:t>
      </w:r>
    </w:p>
    <w:p w14:paraId="30AD678A" w14:textId="77777777" w:rsidR="00BE23EE"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 xml:space="preserve">dokumentos ietverto informāciju. Šādā gadījumā nekavējoties neatgriezeniski izdzēsiet </w:t>
      </w:r>
    </w:p>
    <w:p w14:paraId="2A55D37F" w14:textId="0769E676" w:rsidR="00981997" w:rsidRPr="00BE23EE" w:rsidRDefault="00BE23EE" w:rsidP="00BE23EE">
      <w:pPr>
        <w:spacing w:after="0" w:line="240" w:lineRule="auto"/>
        <w:jc w:val="both"/>
        <w:rPr>
          <w:rFonts w:ascii="Times New Roman" w:hAnsi="Times New Roman" w:cs="Times New Roman"/>
          <w:sz w:val="24"/>
          <w:szCs w:val="24"/>
        </w:rPr>
      </w:pPr>
      <w:r w:rsidRPr="00BE23EE">
        <w:rPr>
          <w:rFonts w:ascii="Times New Roman" w:hAnsi="Times New Roman" w:cs="Times New Roman"/>
          <w:sz w:val="24"/>
          <w:szCs w:val="24"/>
        </w:rPr>
        <w:t>šo e-pastu.</w:t>
      </w:r>
    </w:p>
    <w:sectPr w:rsidR="00981997" w:rsidRPr="00BE23E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EE"/>
    <w:rsid w:val="00981997"/>
    <w:rsid w:val="00BE2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9AB6"/>
  <w15:chartTrackingRefBased/>
  <w15:docId w15:val="{AE7726A6-7FB3-4535-9C8C-E20A802D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3091</Words>
  <Characters>1762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2020-09-07T14:34:00Z</dcterms:created>
  <dcterms:modified xsi:type="dcterms:W3CDTF">2020-09-07T14:36:00Z</dcterms:modified>
</cp:coreProperties>
</file>