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w:t>
            </w:r>
            <w:r w:rsidR="00000000" w:rsidRPr="00000000" w:rsidDel="00000000">
              <w:rPr>
                <w:u w:val="single"/>
                <w:rtl w:val="0"/>
              </w:rPr>
              <w:t xml:space="preserve">atkārtoti</w:t>
            </w:r>
            <w:r w:rsidR="00000000" w:rsidRPr="00000000" w:rsidDel="00000000">
              <w:rPr>
                <w:rtl w:val="0"/>
              </w:rPr>
              <w:t xml:space="preserve"> lūdzam aizpildīt noteikumu projekta anotācijas 5. sadaļu, jo īpaši 5.4. apakšsadaļas 1. tabulu, pilnīgi un korekti atspoguļojot informāciju par projekta atbilstība Latvijas Republikas starptautiskajām saistībām.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 1.31. apakšpunktam, anotācijas 1.1. apakšsadaļā norādītajam projekta izstrādes pamatojumam un skaidrojumiem anotācijas 1.3. apakšsadaļā Eiropas Parlamenta un Padomes 2023. gada 18. oktobra Direktīva (ES) 2023/2225 par patērētāju kredītlīgumiem un ar ko atceļ Direktīvu 2008/48/EK (turpmāk – Direktīva 2023/2225)  ir saistīta ar projektu un kaut kādā veidā tiek pārņemta projektā. Ja tomēr, kā skaidrots izziņas 2. punktā, Direktīva 2023/2225 netiek pārņemta ar konkrēto projektu, lūdzam precizēt skaidrojumus anotācijā un svītrot projektā ietverto informatīvo atsauci uz Direktīvu 2023/2225, jo, atbilstoši  Direktīvas 2023/2225 48. panta 1. punktam, informatīvo atsauci uz šo direktīvu ietver tikai tādos normatīvajos aktos, kas vajadzīgi, lai izpildītu šīs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2016. gada 13. decembra noteikumu Nr. 772 "Kredīta starpnieku un kredīta starpnieku pārstāvju reģistrācijas noteikumi" sākotnējās redakcijas anotācijai spēkā esošo noteikumu normās, kuras projektā paredzēts grozīt, jau ir gan pārņemtas, gan ieviestas vairākas Eiropas Savienības tiesību aktu normas. Piemēram, Eiropas Parlamenta un Padomes 2014.gada 4.februāra direktīva 2014/17/ES  par patērētāju kredītlīgumiem saistībā ar mājokļa nekustamo īpašumu un ar ko groza Direktīvas 2008/48/EK un 2013/36/ES un Regulu (ES) Nr. 1093/2010 34.panta 2.punkts (noteikumu 34. - 37. punkts ) u.c., kā arī Eiropas Parlamenta un Padomes 2010.gada 24.novembra regula Nr.1093/2010 ar ko izveido Eiropas Uzraudzības iestādi (Eiropas Banku iestādi), groza Lēmumu Nr. 716/2009/EK un atceļ Komisijas Lēmumu 2009/78/EK (noteikumu 37. punkts)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piemēram, 5.3. apakšsadaļā norādīt, ka līdz šim pārņemtās/ieviestās, no Eiropas Savienības tiesību normām  izrietošās prasības netiek mainītas, ietekmētas. Konstatējot ietekmi, lūdzam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08.07.2025.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25-TA-316</w:t>
    </w:r>
    <w:r>
      <w:br/>
    </w:r>
    <w:r w:rsidR="00000000" w:rsidRPr="00000000" w:rsidDel="00000000">
      <w:rPr>
        <w:rtl w:val="0"/>
      </w:rPr>
      <w:t xml:space="preserve">Izdrukāts 08.07.2025.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Atzinumi_25-TA-316.docx</dc:title>
</cp:coreProperties>
</file>

<file path=docProps/custom.xml><?xml version="1.0" encoding="utf-8"?>
<Properties xmlns="http://schemas.openxmlformats.org/officeDocument/2006/custom-properties" xmlns:vt="http://schemas.openxmlformats.org/officeDocument/2006/docPropsVTypes"/>
</file>