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darījumu tūrisms – tūrisma veids, kura mērķis ir dienesta darījumu kārtošana, komercdarbības jautājumu risināšana, piedalīšanās konferencēs, sanāksmēs un izstādēs, konferenču, kongresu, semināru, samitu, izstāžu organizēšana un uzņemšana, kā arī citu korporatīvo pasākumu rīkošana un koordinēšana, tai skaitā motivācijas, lojalitātes, apbalvojuma, komandas saliedēšanas, korporatīvie atpūtas un izklaides pasākumi klientiem;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informējam, ka motivācijas, lojalitātes, apbalvojuma, komandas saliedēšanas, korporatīvie atpūtas un izklaides pasākumi darbiniekiem, sadarbības partneriem, klientiem nav nekādas saistības ar Eiropas Savienības kohēzijas politikas programmas 2021.–2027.gadam 1.2.3. specifisko atbalsta mērķi "Veicināt ilgtspējīgu izaugsmi, konkurētspēju un darba vietu radīšanu MVU, tostarp ar produktīvām investīcijām" (turpmāk - 1.2.3.SAM), proti, motivēt uzsākt uzņēmējdarbību un motivēt pievērsties inovatīvu risinājumu izstrādei un lietošanai, tādējādi sekmējot inovatīvo uzņēmumu īpatsvaru ekonomikā. Lūdzam atbilstoši precizēt MK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pirmo projektu iesniegumu atlases kārtu – ierobežotas projektu iesniegumu atlases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36.punktā paredzēts, ka šo noteikumu  34.1.apakšpunktā noteiktās izmaksas ir attiecināmas atbilstoši atbildīgās iestādes izstrdātajai vienkāršoto izmaksu metodikai, lūdzam protokllēmumā pie projektu iesniegumu atlases izsludināšanas termiņa noteikt, ka atlase izstudināma pēc minētās metodikas saskaņošanas ar vadošo iestādi, vai MK noteikumos noteikt, ka līdz vienkāršoto izmaksu metodikas spēkā stāšanās brīdim izmaksas ir attiecināmas atbilstoši faktisko izmaksu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otro projektu iesniegumu atlases kārtu - atklātas projektu iesniegumu atlases veidā 2 mēnešus pēc šo noteikumu spēkā stāšanās, bet ne agrāk kā pirms vērtēšanas kritēriju apstiprināšanas Uzraudzības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dzēst šobrīd ietverto norādi par termiņu MK noteikumu projekta 6.2. apakšpunktā. Vienlaikus norādām, ka sekmīgai otrās projektu iesniegumu atlases kārtas norisei ir nepieciešama pirmās kārtas projekta īstenošanas uzsākšana. Pretējā gadījumā ir risks, ka otrās kārtas projektu iesniedzēji nevarēs saņemt aģentūras konsultācijas, kas saskaņā ar šo MK noteikumu projektu ir pirmās kārtas projekta atbalstāmās darbības un kuru izmantošana ietekmē otrās kārtas projektu iesniegumu vērtējumu kvalitātes kritērijos. Aicinām otrās kārtas izsludināšanu paredzēt, piemēram, pēc vienošanās par pirmās kārtas projekta īstenošanu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6 836 842 euro (t.sk. elastības finansējuma apjoms 1 029 157 euro), tai skaitā Eiropas Reģionālā attīstības fonda (turpmāk - ERAF) finansējums 5 546 250 euro (t.sk. elastības finansējuma apjoms 874 784 euro), valsts budžeta 978 750 euro (t.sk. elastības finansējuma apjoms 154 373 euro) un minimālais privātais finansējums 311 842  euro (t.sk. elastības finansējuma apjoms 49 185 euro), kas sadalās kārtās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brīža 8. punktā norādītais kopējais finansējums pārsniedz pasākumam piešķirto finansējumu. Gadījumā, ja Ekonomikas ministrija plāno jau paredzētajam finansējumam piešķirt papildus 311 842 euro privātā  finansējumā ietvaros, informējam, ka šajā gadījumā elastības finansējums sadalījumā pa finansējuma avotiem pārsniedz kopējo norādīto elastības finansējumu. Tomēr, ja gadījumā papildu finansējums netiek plānots, lūdzam izlabot pasākuma plānoto nacionālo finansējumu (valsts budžets un privātais finansējums), lai tā summa būti 978 750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kopējais pieejamais finansējums ir 5 495 843 euro, tai skaitā ERAF finansējums 4 671 466 euro, valsts budžeta finansējums 824 377 euro un minimālais privātais finansējums 262 657 euro, kas sadalās: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jo šobrīd saskaitot kopā ERAF, valsts budžeta un privāto finansējumu, tas pārsniedz norādīto kopējo pieejamo finansējumu 5 495 843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otrās kārtas ietvaros ir 95 % (85% ERAF finansējums, 15% valsts budžeta finansējums), minimālā privātā līdzfinansējuma intensitāte ir 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6. aprīļa apakškomitejas ietvaros lūdzām Ekonomikas ministriju izvērtēt un noteikt tādus rādītājus Latvijas investīciju un attīstības aģentūrai, kuri atspoguļotu tā ieguldījumu sasaisti ar pasākuma mērķi. Vēršam uzmanību, ka ieplanotās 10 konsultācijas par stratēģiju izstrādi un 50 apmācīto tīklu dalībnieki ir nepietiekams sniegums pasākuma mērķa sasniegšanā.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Otrās kārtas ietvaros projekta iesniedzējs ir sadarbības tīkls vai juridiska persona, kas pārstāv plānoto sadarbības tīklu, pamatojoties uz juridisko personu vienošanos, kas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uzturam iebildumu, ka saskaņā ar Eiropas Savienības fondu 2021.–2027. gada plānošanas perioda vadības likuma 1. pantā noteikto finansējuma saņēmēja definīciju, finansējuma saņēmējs atbilstoši šī SAM īstenošanas veidam ir persona, kuras projekta iesniegums ir ticis apstiprināts. Tādējādi, ja projekta iesniegumu iesniegs viens no potenciālā sadarbības tīkla dalībniekiem, tieši šī persona, nevis nākotnē izveidojams sadarbības tīkls, būs uzskatāms par finansējuma saņēmēju, t. sk. līgums par projekta īstenošanu būs slēdzams ar šo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w:t>
            </w:r>
            <w:r w:rsidR="00000000" w:rsidRPr="00000000" w:rsidDel="00000000">
              <w:rPr>
                <w:rtl w:val="0"/>
              </w:rPr>
              <w:t xml:space="preserve">34.1.</w:t>
            </w:r>
            <w:r w:rsidR="00000000" w:rsidRPr="00000000" w:rsidDel="00000000">
              <w:rPr>
                <w:rtl w:val="0"/>
              </w:rPr>
              <w:t xml:space="preserve"> apakšpunktā noteiktās izmaksu kopsumma nedrīkst pārsniegt 364 800 euro, un tās ir attiecināmas atbilstoši atbildīgās iestādes izstrādātajai vienkāršoto izmaksu metodikai, kas saskaņota ar vadošo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iebildumu un lūdzam anotācijā skaidrot, kā tiks nodrošināta LIAA darbinieku funkciju nepārklāšanās (starp projektiem), ņemot vērā, ka pašlaik vairākos pasākumos ir paredzēts piemērot vienoto personāla atlīdzības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Otrās kārtas ietvaros sadarbības tīklam šo noteikumu </w:t>
            </w:r>
            <w:r w:rsidR="00000000" w:rsidRPr="00000000" w:rsidDel="00000000">
              <w:rPr>
                <w:rtl w:val="0"/>
              </w:rPr>
              <w:t xml:space="preserve">40.</w:t>
            </w:r>
            <w:r w:rsidR="00000000" w:rsidRPr="00000000" w:rsidDel="00000000">
              <w:rPr>
                <w:rtl w:val="0"/>
              </w:rPr>
              <w:t xml:space="preserve"> punktā minēto atbalstāmo darbību īstenošanā paredzētas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113.punktā sniegto skaidrojumu par izņēmuma piemērošanu saskaņā ar Regulas 2021/1060 53. panta 2. pantā noteikto, vēršam uzmanību, ka tajā noteikts šādi "Atkāpjoties no šā punkta pirmās daļas, vadošā iestāde var piekrist atbrīvot no minētajā daļā noteiktās prasības dažas darbības pētniecības un inovācijas jomā ar noteikumu, ka uzraudzības komiteja šādam atbrīvojumam ir devusi iepriekšēju apstiprinājumu", līdz ar to līdz Uzraudzības komitejas lēmumam par šī izņēmuma piemērošanu, uzturam iebildumu par vienkāršoto izmaksu obligātu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šī informācija obligāti norādāma anotācijā (ja šī izņēmuma piemērošana tiks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balstoties uz šobrīd sniegto argumentāciju, nesaskatām pamatojumu šo noteikt kā izņēmumu.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42.16. izmaksas informācijas un publicitātes pasākumu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apakšpunktu aiz vārda "izmaksas" papildināt ar vārdu "obligāto".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Pasākuma otrās kārtas ietvaros finansējuma saņēmējs ir sadarbības tīkli.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fondu 2021.—2027. gada plānošanas perioda vadības likuma 1.pantā noteiktajam finansējuma saņēmējs ir persona, kuras projekta iesniegums ir ticis apstiprināts, attiecīgi šīs punkts ir pretrunā ar MK noteikumu projekta 20.1.apakšpunktu. (Lūdzu skatīt iebildumu pie noteikumu projekta 20.1.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Otrās kārtas ietvaros sadarbības iestādei pirms katra maksājuma pieprasījuma un noslēguma maksājuma apstiprināšanas, ir pienākums informēt atbildīgo iestādi par šo noteikumu </w:t>
            </w:r>
            <w:r w:rsidR="00000000" w:rsidRPr="00000000" w:rsidDel="00000000">
              <w:rPr>
                <w:rtl w:val="0"/>
              </w:rPr>
              <w:t xml:space="preserve">14.3.</w:t>
            </w:r>
            <w:r w:rsidR="00000000" w:rsidRPr="00000000" w:rsidDel="00000000">
              <w:rPr>
                <w:rtl w:val="0"/>
              </w:rPr>
              <w:t xml:space="preserve"> apakšpunktā noteikto rādītāju izpildi. Atbildīgā iestāde par sasniegtajiem nacionālajiem rādītājiem sniedz atzinumu sadarbības iestādei. Ja sadarbības tīkls pirms noslēguma maksājuma pieprasījuma rādītājus nav sasniedzis, sadarbības iestāde, pamatojoties uz Atbildīgās iestādēs atzinumu, var neizmaksāt noslēguma maksājumu.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148. punktā tiek norādīts, ka iebildums par noteikumu projekta 61. punktu ir ņemts vērā, bet faktiski tas nav ņemts vērā un noteikumu projekta 61. punkts nav precizēts. Līdz ar to atkārtoti norādām, ka nacionālo rādītāju uzraudzība atbilstoši noteikumu projekta 15. punktam un vadlīniju projektam </w:t>
            </w:r>
            <w:r w:rsidR="00000000" w:rsidRPr="00000000" w:rsidDel="00000000">
              <w:rPr>
                <w:i w:val="1"/>
                <w:rtl w:val="0"/>
              </w:rPr>
              <w:t xml:space="preserve">“Vadlīnijas Ministru kabineta noteikumu par specifiskā  atbalsta mērķa īstenošanu izstrādei Eiropas Savienības fondu 2021.—2027. gada plānošanas periodā”</w:t>
            </w:r>
            <w:r w:rsidR="00000000" w:rsidRPr="00000000" w:rsidDel="00000000">
              <w:rPr>
                <w:rtl w:val="0"/>
              </w:rPr>
              <w:t xml:space="preserve"> ir Atbildīgās iestādes atbildībā un Sadarbības iestāde nevar piemērot finanšu korekciju par projekta nacionālo rādītāju nesasniegšanu. Atkārtoti lūdzam dzēst šo punktu, kā arī skatīt CFLA priekšlikumu pie noteikumu projekta 14.3. apakšpunkta.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izstrādāt iekšējo kārtību atbalsta piešķiršanai sadarbības tīkla dalībniekiem, saskaņojot to ar sadarbības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prasību otrās kārtas projekta iesniedzējam izstrādāt un iesniegt sadarbības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tas nodrošinās </w:t>
            </w:r>
            <w:r w:rsidR="00000000" w:rsidRPr="00000000" w:rsidDel="00000000">
              <w:rPr>
                <w:i w:val="1"/>
                <w:rtl w:val="0"/>
              </w:rPr>
              <w:t xml:space="preserve">de minimis</w:t>
            </w:r>
            <w:r w:rsidR="00000000" w:rsidRPr="00000000" w:rsidDel="00000000">
              <w:rPr>
                <w:rtl w:val="0"/>
              </w:rPr>
              <w:t xml:space="preserve"> atbalsta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Sadarbības iestāde aģentūru un sadarbības tīklus, aģentūra sadarbības tīklus un sadarbības tīkls sadarbības tīkla dalībniekus izvērtē atbilstoši regulas Nr. 2018/1046 136. pantā noteiktajiem izslēgšanas kritērijiem. Uz komersantu nav attiecināms jebkurš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sadarbības iestādes pienākumu projekta iesniedzēju izvērtēt atbilstoši regulas Nr. 2018/1046 136. pantā noteiktajiem izslēgšanas kritērijiem izriet no  Eiropas Savienības fondu 2021.-2027.gada plānošanas perioda vadības likuma 22.panta, lūdzam dzēst norādi uz sadarbības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atbalsta saņemšanu saistītie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papildināt, ar </w:t>
            </w:r>
            <w:r w:rsidR="00000000" w:rsidRPr="00000000" w:rsidDel="00000000">
              <w:rPr>
                <w:i w:val="1"/>
                <w:rtl w:val="0"/>
              </w:rPr>
              <w:t xml:space="preserve">de minimis</w:t>
            </w:r>
            <w:r w:rsidR="00000000" w:rsidRPr="00000000" w:rsidDel="00000000">
              <w:rPr>
                <w:rtl w:val="0"/>
              </w:rPr>
              <w:t xml:space="preserve"> atbalsta nosacījumiem, t.sk., nelikumīga komercdarbības atbalsta atgūšanas normu, ko attiecinātu arī uz komercdarbības atbalsta kontroles normu pārkāpumu pirmās kārtas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Otrās kārtas ietvaros datums, kad sadarbības iestāde noslēgusi līgumu par projekta īstenošanu ar sadarbības tīklu, un datums, kad sadarbības tīkls pieņēmis lēmumu par atbalsta piešķiršanu sadarbības tīkla dalībniekam, uzskatāms par atbalsta piešķiršanas datumu. Sadarbības iestāde lēmumu par atbalsta piešķiršanu sadarbības tīklam un sadarbības tīkls lēmumu par atbalsta piešķiršanu sadarbības tīkla dalībniekam pieņem regulas Nr. 1407/2013 7. panta 4. punktā un 8. pantā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CFLA uztur iebildumu par 20.punkta redakciju, proti, ka projekta iesniedzējam ir jābūt arī finansējuma saņēmējam, kā rezultātā projekta iesniegumu nav iespējams iesniegt kādai citai juridiskai personai un attiecīgi finansējuma saņēmējs tiktu nodibināts pēc projekta iesnieguma apstiprināšanas, lūdzam otrās kārtas ietvaros labot komercdarbības atbalsta piešķiršanas brīdi, kad sadarbības iestāde piešķir komercdarbības atbalstu sadarbības tīklam, no līguma par projekta īstenošanas noslēgšanas uz projekta iesnieguma apstiprināšanas brīdi vai uz atzinuma par lēmumā noteikto nosacījumu izpildi brīdi, ja iepriekš pieņemts lēmums par projekta iesnieguma apstiprināšanu ar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Otrās kārtas ietvaros sadarbības tīkls, iesniedzot sadarbības iestādei pieteikumu de minimis atbalsta saņemšanai, pieteikumā norāda de minimis atbalsta uzskaites sistēmā izveidotās un apstiprinātās pretendenta veidlapas identifikācijas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saņēmējs ir arī sadarbības tīkla dalībnieks, tad lūdzu papildināt punktu, ka sadarbības tīkla dalībniekam, iesniedzot sadarbības tīklam pieteikumu de minimis atbalsta saņemšanai, pieteikumā jānorāda de minimis atbalsta uzskaites sistēmā izveidotās un apstiprinātās pretendenta veidlapas identifikācijas numurs.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Otrās kārtas ietvaros sadarbības tīkls pirms lēmuma pieņemšanas par atbalsta piešķiršanu sadarbības tīkla  dalībniekam, pārbauda tā atbilstību šo noteikumu </w:t>
            </w:r>
            <w:r w:rsidR="00000000" w:rsidRPr="00000000" w:rsidDel="00000000">
              <w:rPr>
                <w:rtl w:val="0"/>
              </w:rPr>
              <w:t xml:space="preserve">83.</w:t>
            </w:r>
            <w:r w:rsidR="00000000" w:rsidRPr="00000000" w:rsidDel="00000000">
              <w:rPr>
                <w:rtl w:val="0"/>
              </w:rPr>
              <w:t xml:space="preserve"> punktā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89.punktā ietverto atsauci uz 83.punktu, ņemot vērā, ka nav skaidrs kādu konkrēti pārbaudi tā ietver.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Ja sadarbības tīkla dalībnieks darbojas šo noteikumu </w:t>
            </w:r>
            <w:r w:rsidR="00000000" w:rsidRPr="00000000" w:rsidDel="00000000">
              <w:rPr>
                <w:rtl w:val="0"/>
              </w:rPr>
              <w:t xml:space="preserve">77.</w:t>
            </w:r>
            <w:r w:rsidR="00000000" w:rsidRPr="00000000" w:rsidDel="00000000">
              <w:rPr>
                <w:rtl w:val="0"/>
              </w:rPr>
              <w:t xml:space="preserve"> punktā minētajās nozarēs, atbalstu drīkst piešķirt tikai tad, ja tiek skaidri nodalītas atbalstāmās darbības un finanšu plūsmas, nodrošinot, ka darbības izslēgtajās nozarēs negūst labumu no pasākuma ietvaros piešķirtā atbalsta.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saņēmējs ir arī sadarbības tīkla dalībnieks, tad lūdzu papildināt punktu, ka arī uz sadarbības tīkla dalībnieku attiecas šajā punktā minētais.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 aģentūra un sadarbības tīkls nodrošina informācijas pieejamību 10 gadus, skaitot no dienas, kad ir piešķirts pēdējais atbalsts saskaņā ar atbalsta shēmu;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informācijas glabāšanas nosacījums attiecas arī uz sadarbības iestādi, kā iestādi, kura piešķir de minimis atbalstu, lūdzu atbilstoši papildināt 93.1.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informāciju par attiecināmajām izmaksām pirmajā un otrajā kārtā, jo šobrīd tā neaptver visas izmaksas, tai skaitā izmaksas, kas attiecināmas sadarbības tīkla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FM rīcībā esošai informācijai 1.2.3.6. pasākuma otrās kārtas ietvaros ir paredzēti šādi intervences kodi un to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11.kods - 50 3625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21.kods - 4 532 625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par vienkāršotajām izmaksām precizēt pēdējo rindkopu, ņemot vērā, ka vadošā iestāde apstiprina tikai pašu izstrādātās metodikas, nevis atbildīgo iestāžu izstrādātās.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Centrālai finanšu un līgumu aģentūrai izsludināt pirmās kārtas projektu pieteikumu atlasi pēc projekta vērtēšanas kritēriju apstiprināšanas Uzraudzības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iebildumu pie MK noteikumu projekta 6.1.apakšpunkta.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Centrālai finanšu un līgumu aģentūrai izsludināt 2 kārtas projektu pieteikumu atlasi 2 mēnešus pēc šo noteikumu spēkā stāšanās, bet ne agrāk kā pirms vērtēšanas kritēriju apstiprināšanas Uzraudzības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iebildumu pie MK noteikumu projekta 6.2.apakšpunkta.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prasības Eiropas Reģionālās attīstības fonda projekta (turpmāk – projekts)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ietvertais regulējums attiecas arī uz finansējuma saņēmējiem, aicinām papildināt noteikumu projekta 1.5.apakšpunktu ar vārdiem "un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Centrālā finanšu un līgumu aģentūra (turpmāk – sadarbības iestāde) veic projektu iesniegumu atlasi pieejamā finansējuma apmērā šādos veidos: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6.punktā vārdus "Centrālā finanšu un līgumu aģentūra (turpmāk – sadarbības iestāde)" ar vārdiem "Sadarbības iestāde", ņemot vērā, ka iestāde, kas veic sadarbības iestādes funkcijas ir noteikta ar Eiropas Savienības fondu 2021.-2027.gada plānošanas perioda vadības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otrās kārtas ietvaros ir 95 % (85% ERAF finansējums, 15% valsts budžeta finansējums), minimālā privātā līdzfinansējuma intensitāte ir 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12.2.apakšpunktā minēto intensitātes apmēru, kas norādīts iekavās. Vēršu uzmanību, ka Eiropas Reģionālās attīstības finansējuma valsts budžeta intensitāte veido 100%, nevis 95%.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Pirmās kārtas ietvaros sasniedzami šādi nacionālie rādītāji, ko aģentūra iesniedz atbildīgajai iestādei pēc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noteikumu projekta 13.punktā pilnu saīsinājuma "aģentūra" nosaukumu, ņemot vērā, ka iepriekš tekstā tas nav atrunāts.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 līdz 2029. gada 31. decembrim ar grantiem atbalstītie uzņēmumi – 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14.1.2. apakšpunkta redakciju, papildinot to ar noteikumu projekta 14.3.3. apakšpunktā norādīto rādītāju - </w:t>
            </w:r>
            <w:r w:rsidR="00000000" w:rsidRPr="00000000" w:rsidDel="00000000">
              <w:rPr>
                <w:i w:val="1"/>
                <w:rtl w:val="0"/>
              </w:rPr>
              <w:t xml:space="preserve">katra projekta ietvaros ar grantiem atbalstīto uzņēmumu skaitu</w:t>
            </w:r>
            <w:r w:rsidR="00000000" w:rsidRPr="00000000" w:rsidDel="00000000">
              <w:rPr>
                <w:rtl w:val="0"/>
              </w:rPr>
              <w:t xml:space="preserve">, izsakot 14.1.2. apakšpunktu šādā redakcijā (vienlaikus dzēšot 14.3.3.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"14.1.2. līdz 2029. gada 31. decembrim ar grantiem atbalstītie uzņēmumi – 120. Katra projekta ietvaros ar grantiem atbalstīto uzņēmumu skaits nav mazāks par 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14.1.3. atbalstītie uzņēmumi (tai skaitā: mikrouzņēmumi, mazi un vidēji uzņēmumi) - 120;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rādītāju pārcelt uz 14.1.1.apakšpunktu, pārējos rādītājus izsakot zem šī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nacionālie rādītāji, ko sadarbības tīkls iesniedz aģentūrai pēc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14.3.1. un 14.3.2. apakšpunktus noteikt kā prasību (nosacījumus) finansējuma saņēmējiem nevis kā otrās kārtas nacionālos rādītājus, norādot šo informāciju noteikumu projekta 58. un 66. punktā. Vēršam uzmanību uz to, ka, lai noteiktu pasākuma kārtas papildu nacionālo rādītāju ir jābūt nodefinētam skaidram rādītāja nosaukumam un līdz 2029. gada 31. decembrim sasniedzamajai rādītāja vērtībai (skaits, procents, euro utt.), kas KPVIS sākotnēji būs jāievada 1.2.3.6. pasākuma otrās kārtas virsprojekta līmenī, lai pēc tam informācija par nacionālo rādītāju tiktu atspoguļota arī projekta iesniegumā un projektā. No šī brīža noteikumu projekta 14.3.1. un 14.3.2. apakšpunkta redakcijas izriet, ka šiem nacionālajiem rādītājiem KPVIS virsprojekta līmenī nebūs sasniedzamo vērtību, jo tie ir projektā uzkrājamie dati un nebūs nepieciešams sasniegtās vērtības skaitīt kopā no projektiem uz pasākumu. Nepieciešamības gadījumā lūdzam jautājumus par nacionālajiem jautājumiem pārrunāt atsevišķā sanāksmē.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14.3.3. katra projekta ietvaros ar grantiem atbalstīto uzņēmumu skaits ir lielāks vai vienāds ar 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apakšpunktu, jo tas nevar būt pasākuma nacionālais rādītājs, bet gan pasākumā paredzētā iznākuma rādītāja "</w:t>
            </w:r>
            <w:r w:rsidR="00000000" w:rsidRPr="00000000" w:rsidDel="00000000">
              <w:rPr>
                <w:i w:val="1"/>
                <w:rtl w:val="0"/>
              </w:rPr>
              <w:t xml:space="preserve">ar grantiem atbalstīto uzņēmumu skaits"</w:t>
            </w:r>
            <w:r w:rsidR="00000000" w:rsidRPr="00000000" w:rsidDel="00000000">
              <w:rPr>
                <w:rtl w:val="0"/>
              </w:rPr>
              <w:t xml:space="preserve"> sadalījums pa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pārbaužu veikšana otrās kārtas ietvaros par dubultā finansējuma situāciju, korupcijas, krāpšanas riska un interešu konflikta pazīmēm;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un kā tiks nodrošināta korupcijas, krāpšanas riska un interešu konflikta pazīmju neesamība pirmās kārtas ietvaros attiecībā uz finansējuma saņēmēju, un kas nav minēta  noteikumu projekta 54.10.apakšpunktā,  un attiecīgi izvērtēt, vai nav papildināms MK noteikumu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personāla atlīdzības izmaksas, tai skaitā darba alga, valsts sociālās apdrošināšanas obligātās iemaksas, atvaļinājuma nauda un veselības apdrošināšanas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metodikā tiks noteikta personāla atlīdzības stundas likme, piemērojot Regulas Nr. 2021/1060 55.panta 2.punkta a) apakšpunktā noteiktās 1720 stundas, vēršam uzmanību uz nosacījumu, ka aprēķinā izmantojamas "darbaspēka gada bruto izmaksas", savukārt 34.1 un 42.1.1. .apakšpunktos minētas veselības apdrošināšanas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avansa maksājums nepārsniedz 30 % no projektam piešķirtā publiskā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avansu var izmaksāt pa daļām, kā arī norādīt iespējamo avansa un starpposma maksājuma kopsummu.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Pirmās un otrās kārtas finansējuma saņēmēji un sadarbības tīkla dalībnieki nodrošina informācijas un publicitātes pasākumus saskaņā ar saskaņā ar regulas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vārdus "saskaņā ar", jo tie norādīti divreiz.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Pirmās un otrās kārtas finansējuma saņēmēji un sadarbības tīkla dalībnieki nodrošina informācijas un publicitātes pasākumus </w:t>
            </w:r>
            <w:r w:rsidR="00000000" w:rsidRPr="00000000" w:rsidDel="00000000">
              <w:rPr>
                <w:strike w:val="1"/>
                <w:shd w:fill="#f1c40f" w:val="clear"/>
                <w:rtl w:val="0"/>
              </w:rPr>
              <w:t xml:space="preserve">saskaņā ar</w:t>
            </w:r>
            <w:r w:rsidR="00000000" w:rsidRPr="00000000" w:rsidDel="00000000">
              <w:rPr>
                <w:shd w:fill="#f1c40f" w:val="clear"/>
                <w:rtl w:val="0"/>
              </w:rPr>
              <w:t xml:space="preserve"> saskaņā ar</w:t>
            </w:r>
            <w:r w:rsidR="00000000" w:rsidRPr="00000000" w:rsidDel="00000000">
              <w:rPr>
                <w:rtl w:val="0"/>
              </w:rPr>
              <w:t xml:space="preserve"> regulas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Pirmās kārtas ietvaros aģentūra šo noteikumu </w:t>
            </w:r>
            <w:r w:rsidR="00000000" w:rsidRPr="00000000" w:rsidDel="00000000">
              <w:rPr>
                <w:rtl w:val="0"/>
              </w:rPr>
              <w:t xml:space="preserve">34.2.</w:t>
            </w:r>
            <w:r w:rsidR="00000000" w:rsidRPr="00000000" w:rsidDel="00000000">
              <w:rPr>
                <w:rtl w:val="0"/>
              </w:rPr>
              <w:t xml:space="preserve"> punktā un </w:t>
            </w:r>
            <w:r w:rsidR="00000000" w:rsidRPr="00000000" w:rsidDel="00000000">
              <w:rPr>
                <w:rtl w:val="0"/>
              </w:rPr>
              <w:t xml:space="preserve">34.3.</w:t>
            </w:r>
            <w:r w:rsidR="00000000" w:rsidRPr="00000000" w:rsidDel="00000000">
              <w:rPr>
                <w:rtl w:val="0"/>
              </w:rPr>
              <w:t xml:space="preserve"> punktā, ja attiecināms, atbalstu sadarbības tīklam un sadarbības tīkla dalībniekiem sniedz un uzskaita saskaņā ar regulu Nr. 1407/2013 un normatīvajiem aktiem par de minimis atbalsta uzskaites un piešķiršanas kārtību un de minimis atbalsta uzskaites veidlapu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redakcionāli, jo nav saprotama teksta sākuma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arī ar informāciju attiecībā uz rādītāju "Atbalstītie uzņēmumi (tai skaitā: mikrouzņēmumi, mazi un vidēji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3.sadaļas 6.punktā pirmās un otrās kārtas norādītā finansējuma kopsumma sadalījumā pa gadiem nesakrīt ar 2. un 2.1.punktā norādītajiem izdevumiem, attiecīgi lūdzam veikt nepieciešamos precizējumus. Vienlaikus vēršam uzmanību, ka 6.punkta pirmajā teikumā minētais kopējais plānotais finansējums pārsniedz finansējumu sadalījumā pa norādītajiem avotiem.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Reģionālās attīstības fonda, Eiropas Sociālā fonda plus, Kohēzijas fonda un Taisnīgas pārkārtošanās fonda projektu iesniegumu atlases metodika 2021.–2027.gadam" noteiktajam horizontālā principa “Nenodarīt būtisku kaitējumu” vērtēšanai tiek piemēroti specifiskie atbilstības vai kvalitātes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Labklājības ministrijas izstrādāto "Horizontālais princips “Vienlīdzība, iekļaušana, nediskriminācija un pamattiesību ievērošana” vadlīnijas īstenošanai un uzraudzībai (2021-2027)" 1.pielikumā norādītājam pasākumam ir netieša ietekme uz horizontālo principu “Vienlīdzība, iekļaušana, nediskriminācija un pamattiesību ievērošana”, lūdzam anotācijas 8.2. sadaļas pirmo teikumu atbilstoši precizēt un paredzēt vismaz vienu horizontālā principa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w:t>
            </w:r>
            <w:r w:rsidR="00000000" w:rsidRPr="00000000" w:rsidDel="00000000">
              <w:rPr>
                <w:b w:val="1"/>
                <w:rtl w:val="0"/>
              </w:rPr>
              <w:t xml:space="preserve">ir netieša ietekme</w:t>
            </w:r>
            <w:r w:rsidR="00000000" w:rsidRPr="00000000" w:rsidDel="00000000">
              <w:rPr>
                <w:rtl w:val="0"/>
              </w:rPr>
              <w:t xml:space="preserve"> uz horizontālo principu “Vienlīdzība, iekļaušana, nediskriminācija un pamattiesību ievērošana”.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24.04.2023.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24.04.2023.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