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var radīt pārpratumus subjektiem, kuriem ir jāievēro gan  Eiropas Komisijas 2024. gada 17. oktobra Īstenošanas regulu (ES) 2024/2690  gan nacionālais tiesību akts, tādēļ  šo noteikumu 2. punktā vajadzētu precizēt (līdzvērtīgi, kā tas ir veikts  2025.gada 25.jūnija Ministru kabineta noteikumos Nr. 397), ka: Noteikumos ietvertās Informācijas sistēmu izvietošanas un datu centru drošības prasības Nacionālās kiberdrošības likuma 20. panta 1. punktā, 2. punktā, 4. punktā, 8. punkta "s", "t", "u" un "v" apakšpunktā, 21. panta pirmās daļas 2. punkta "l", "m", "n" apakšpunktā un 6. punktā minētajiem subjektiem piemēro, ciktāl tās nav pretrunā ar Eiropas Komisijas 2024. gada 17. oktobra Īstenošanas regulu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2024/2690).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Noteikumos ietvertās  prasības Nacionālās kiberdrošības likuma 20. panta 1. punktā, 2. punktā, 4. punktā, 8. punkta "s", "t", "u" un "v" apakšpunktā, 21. panta pirmās daļas 2. punkta "l", "m", "n" apakšpunktā un 6. punktā minētajiem subjektiem piemēro, ciktāl tās nav pretrunā ar Eiropas Komisijas 2024. gada 17. oktobra Īstenošanas regulu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2024/2690).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23.07.2025.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23.07.2025.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