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 aprīļa noteikumos Nr. 215 "Radioiekārtu atbilstības novērtēšanas, piedāvāšanas tirgū, uzstādīšanas, lietošanas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ietvertas atsauces uz </w:t>
            </w:r>
            <w:r w:rsidR="00000000" w:rsidRPr="00000000" w:rsidDel="00000000">
              <w:rPr>
                <w:i w:val="1"/>
                <w:rtl w:val="0"/>
              </w:rPr>
              <w:t xml:space="preserve">Eiropas Parlamenta un Padomes 2024. gada 9. oktobra Regulu Nr. 2024/2747 ar ko izveido pasākumu satvaru saistībā ar iekšējā tirgus ārkārtas situāciju un iekšējā tirgus noturību un groza Padomes Regulu (EK) Nr. 2679/98 (Iekšējā tirgus ārkārtas situācijas un noturības akts)</w:t>
            </w:r>
            <w:r w:rsidR="00000000" w:rsidRPr="00000000" w:rsidDel="00000000">
              <w:rPr>
                <w:rtl w:val="0"/>
              </w:rPr>
              <w:t xml:space="preserve"> un </w:t>
            </w:r>
            <w:r w:rsidR="00000000" w:rsidRPr="00000000" w:rsidDel="00000000">
              <w:rPr>
                <w:i w:val="1"/>
                <w:rtl w:val="0"/>
              </w:rPr>
              <w:t xml:space="preserve">Eiropas Parlamenta un Padomes 2019. gada 20. jūnija Regulu Nr. 2019/1020 par tirgus uzraudzību un produktu atbilstību un ar ko groza Direktīvu 2004/42/EK un Regulas (EK) Nr. 765/2008 un (ES) Nr. 305/2011</w:t>
            </w:r>
            <w:r w:rsidR="00000000" w:rsidRPr="00000000" w:rsidDel="00000000">
              <w:rPr>
                <w:rtl w:val="0"/>
              </w:rPr>
              <w:t xml:space="preserve">. Skaidrojam, ka, lai gan regulas saskaņā ar Līguma par Eiropas Savienības darbību 288.panta otro daļu ir vispārpiemērojamas, tās uzliek saistības kopumā un ir tieši piemērojamas visās dalībvalstīs, aicinām to prasību ievērošanu un nacionālo tiesību aktu sasaisti atspoguļot anotācijas 5.4. apakšsadaļas 1. tabulā. Minētās tabulas mērķis ir parādīt, kā nacionālais tiesību akts atbilst attiecīgajam Eiropas Savienības tiesību aktam un nodrošina tā prasību izpildi. Kā arī, ja tiesību akts ietver tiešas atsauces uz regulas normām un to vienībām, tas pēc būtības uzskatāms par regulu prasību ieviešana, jo tādējādi tiek nodrošināta regulas prasību praktiskā piemērošana.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atsauces uz Eiropas Savienības tiesību aktiem noformēt atbilstoši Ministru kabineta 2009. gada 3. februāra noteikumu Nr. 108 „Normatīvo aktu projektu sagatavošanas noteikumi”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25-TA-1364</w:t>
    </w:r>
    <w:r>
      <w:br/>
    </w:r>
    <w:r w:rsidR="00000000" w:rsidRPr="00000000" w:rsidDel="00000000">
      <w:rPr>
        <w:rtl w:val="0"/>
      </w:rPr>
      <w:t xml:space="preserve">Izdrukāts 01.10.2025.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25-TA-1364</w:t>
    </w:r>
    <w:r>
      <w:br/>
    </w:r>
    <w:r w:rsidR="00000000" w:rsidRPr="00000000" w:rsidDel="00000000">
      <w:rPr>
        <w:rtl w:val="0"/>
      </w:rPr>
      <w:t xml:space="preserve">Izdrukāts 01.10.2025.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Atzinumi_25-TA-1364.docx</dc:title>
</cp:coreProperties>
</file>

<file path=docProps/custom.xml><?xml version="1.0" encoding="utf-8"?>
<Properties xmlns="http://schemas.openxmlformats.org/officeDocument/2006/custom-properties" xmlns:vt="http://schemas.openxmlformats.org/officeDocument/2006/docPropsVTypes"/>
</file>