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un inovāciju atbalsta stratēģija 2025-2036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Aizsardzības ministrijas sadarbībā ar Ekonomikas ministriju izstrādāto Aizsardzības industrijas un inovāciju atbalsta stratēģiju 2025.–2036. gadam (turpmāk – Stratēģija) projektu un vērš uzmanību, ka Stratēģijai jābūt skaidrā, strukturētā un vienkāršā valodā, lai mērķauditorija varētu ātri uztvert tā saturu. Šobrīd teksts ir pārāk birokrātisks un sarežģīts.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Jāizvirza skaidri mērķi katrā galvenajā attīstības projektā. Piemēram, noteikt konkrētu vietējās industrijas iesaistes procentuālo daļu katrā projektā, lai uzņēmēji varētu savlaicīgi plānot savu līdzdalību.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bāzes vienkāršošanu nepieciešams izdalīt kā atsevišķu stratēģisko virzienu, ar skaidri noteiktu Aizsardzības ministrijas atbildību un konkrētiem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jāiekļauj konkrēti pasākumi mērķtiecīgai starptautisko projektu veidošanai un Latvijas dalībai tajos. Piemēram, identificēt potenciālos partnerus un noteikt prioritāros sadarbības virzienus.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Testēšanas aktivitātes jāveido tā, lai novērstu iespējamo interešu konfliktu. Ja šīs aktivitātes pārvaldīs ATIC vai VAK, tad dokumentā jānorāda precīzi mērķi un darbības plāns, tostarp atbildība par KPI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pārvaldīšana inovācijās ir jānodrošina caur centralizētu struktūru, piemēram, VAK. Jāprecizē, kā tiks sadalīta atbildība starp AM, ATIC un VAK par izpētes un attīstības projektu koordināciju.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Jāizstrādā modelis kritiski nozīmīgu rezervju uzturēšanai, skaidri nosakot Aizsardzības ministrijas lomu un finansējuma avotus, tai skaitā ES fondu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detalizēti izstrādāt, kā valsts pētniecības programmās tiks iesaistīta industrija, lai nodrošinātu sinerģiju starp pētniecību, izstrādi un ražošanu. Jānosaka konkrēti kompetenču centru pienākumi un to koordinējošā loma.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informēt, kad ir plānots izveidot Konsultatīvo padomi, kā norādīts Stratēģijas 9. lapā. Šobrīd ir neskaidrības attiecībā uz komunikāciju un sadarbību ar industriju.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izvērst aizsardzības industriālās kapacitātes raksturojumu, iekļaujot informāciju par to, kas tiek ražots Latvijā, kāds ir apgrozījums, kopējais nodarbināto skaits, kā arī atsevišķi norādot eksistējošos eksporta apjomus. Šāda pieeja palīdzētu veidot pamatu konkrētu sasniedzamo rādītāju definēšanai.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sniedziet precizējumu par zemrīcības virzienu atbalsta mehānismiem, norādot, ka tie ietver visus atbalsta mehānismus un ka prioritāte tiks piešķirta stratēģijā definēto prioritāro jomu projektu īstenošanai. Vienlaikus, piešķirtais 5 miljonu eiro finansējums Eiropas Aizsardzības fondam neatbilst ambīcijai dubultot uzņēmumu skaitu EDF konsorcijos. Tā vietā jānosaka skaidrs un procentuāls pieauguma mērķis, balstoties uz iepriekšējo gadu pieredzi. Turklāt Altum fonds ir piemērots tikai "dual use" produktiem, kas neatrisina militāro ražojumu finansēšanas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Stratēģiju papildināt ar laika rāmi, kādā Ekonomikas ministrija pilnveidos "zaļā koridora" saņemšanas nosacījumus, lai paātrinātu divējāda un militāra lietojuma produktu un tehnoloģiju izstrādi, kā arī precizēt, kurās jomās un kādos līmeņos tiks ieviests "zaļais koridors", lai paātrinātu stratēģiski svarīgu projektu realizāciju.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izveidot nacionālo akselerācijas programmu, kas papildinātu NATO DIANA iniciatīvu un būtu orientēta uz jaunuzņēmumu atbalstu to kritiskajos izaugsmes posmos.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un racionalizēt KPIs. Piemēram, skaidri definēt, ko nozīmē “36 stratēģiskie līgumi līdz 2036. gadam” un kā tie tiks īstenoti. Klasteru darbības mērķi arī jādefinē saprotamāk.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izstrādāt atsevišķu sadaļu, kas koncentrējas uz profesionālās un augstākās izglītības attīstību STEM jomās, īpaši pielāgojot to aizsardzības industrijas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apsvērt un dokumentā norādīt, ka par aizsardzības industrijas attīstību Latvijā, līdzīgi kā par citām tautsaimniecības nozarēm, ir atbildīga Ekonomikas ministrija. Aizsardzības ministrijas galvenā loma ir identificēt nozares prioritārās attīstības jomas, lai nodrošinātu valsts ģeopolitiskajam stāvoklim un militārajam apdraudējumam atbilstošu piegāžu drošības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precizējiet un izskaidrojiet Stratēģijas kontekstā izmantotās izteiksmes "divejādā" un "duālā" nozīmi. Vai šie termini attiecas uz vienu un to pašu jēdzienu, vai tie ir lietoti ar atšķirīgām nozīmēm?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Stratēģijas 12. lpp pie uzdevumi un rezultatīvie rādītāji 3.punkta LIAA un Altum atbalsta programma “Lielo investīciju aizdevums ar kapitāla atlaidi” turpināšanas otrā punkta pabeigt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15.01.2025.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15.01.2025.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Atzinumi_24-TA-3344.docx</dc:title>
</cp:coreProperties>
</file>

<file path=docProps/custom.xml><?xml version="1.0" encoding="utf-8"?>
<Properties xmlns="http://schemas.openxmlformats.org/officeDocument/2006/custom-properties" xmlns:vt="http://schemas.openxmlformats.org/officeDocument/2006/docPropsVTypes"/>
</file>