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Saliedētas un pilsoniski aktīvas sabiedrības attīstības pamatnostādņu 2021.–2027. gadam īstenošanas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20.04.2026. 17.48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20.04.2026. 17.48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