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23-TA-753: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2017. gada 23. maija noteikumos Nr. 271 "Noteikumi par vides aizsardzības oficiālās statistikas un piesārņojošās darbības pārskata veidlapām"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6.0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iesakām papildināt anotācijas 1.3. apakšpunktu atspoguļojot Ministru kabineta 2017. gada 23. maija noteikumos Nr. 271 "Noteikumi par vides aizsardzības oficiālās statistikas un piesārņojošās darbības pārskata veidlapām" (turpmāk -Noteikumi Nr.271 )plānotās izmaiņas. Piemēram, izvērstāk skaidrojot projekta 5. punktu, par Noteikumu Nr.271 pielikuma 2.</w:t>
            </w:r>
            <w:r w:rsidR="00000000" w:rsidRPr="00000000" w:rsidDel="00000000">
              <w:rPr>
                <w:vertAlign w:val="superscript"/>
                <w:rtl w:val="0"/>
              </w:rPr>
              <w:t xml:space="preserve">1</w:t>
            </w:r>
            <w:r w:rsidR="00000000" w:rsidRPr="00000000" w:rsidDel="00000000">
              <w:rPr>
                <w:rtl w:val="0"/>
              </w:rPr>
              <w:t xml:space="preserve"> tabulas "II.1 Dūmgāzu mērījuma rezultāts un testēšanas pārskats" būtību un nepieciešamību. Bet, piemēram, skaidrojot, projekta 3. punktu, definēt, kas ir saprotams ar "darbībām ar atkritumiem", lai būtu nepārprotami saprotams, kādas Noteikumu Nr.271 2.3.apakšpunktā minēto subjektu darbības tās ir.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pārskatīt un nepieciešamības gadījumā precizēt anotācijas 5.4. apakšpunkta 1. tabulu. Vēršam uzmanību,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 anotācijas 5.4. apakšpunkta 1. tabulas izriet "Direktīvas 2015/2193 11. panta 1. punkta" pārņemšana, bet, skaidrojot rīcības brīvību, tiek norādīts "direktīvas 11. pants". Attiecīgi, lūdzam pārskatīt rīcības brīvības skaidrojumus vai tiesību normu pārņemšanas atspoguļojumu, jo tiek sniegta nedaudz atšķirīga informācija par to, kādā apjomā projektā pārņemts Eiropas Parlamenta un Padomes 2015. gada 25. novembra Direktīvas (ES)2015/2193 par ierobežojumiem attiecībā uz dažu piesārņojošu vielu emisiju gaisā no vidējas jaudas sadedzināšanas iekārtām 11.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anotācijas 5.4. apakšpunkta 1. tabulas "Komisijas 2022. gada 31. janvāra īstenošanas lēmums 2022/142/ES, ar ko groza īstenošanas lēmumu (ES) 2019/1741 attiecībā uz ziņošanu par ražošanas apjomu un labo minēto īstenošanas lēmumu" sadaļā, kur skaidrojams "</w:t>
            </w:r>
            <w:r w:rsidR="00000000" w:rsidRPr="00000000" w:rsidDel="00000000">
              <w:rPr>
                <w:u w:val="single"/>
                <w:rtl w:val="0"/>
              </w:rPr>
              <w:t xml:space="preserve">kā ir izmantota</w:t>
            </w:r>
            <w:r w:rsidR="00000000" w:rsidRPr="00000000" w:rsidDel="00000000">
              <w:rPr>
                <w:rtl w:val="0"/>
              </w:rPr>
              <w:t xml:space="preserve"> Eiropas Savienības tiesību aktā </w:t>
            </w:r>
            <w:r w:rsidR="00000000" w:rsidRPr="00000000" w:rsidDel="00000000">
              <w:rPr>
                <w:u w:val="single"/>
                <w:rtl w:val="0"/>
              </w:rPr>
              <w:t xml:space="preserve">paredzētā rīcības brīvība</w:t>
            </w:r>
            <w:r w:rsidR="00000000" w:rsidRPr="00000000" w:rsidDel="00000000">
              <w:rPr>
                <w:rtl w:val="0"/>
              </w:rPr>
              <w:t xml:space="preserve">?", norādīts, ka "Dalībvalstij </w:t>
            </w:r>
            <w:r w:rsidR="00000000" w:rsidRPr="00000000" w:rsidDel="00000000">
              <w:rPr>
                <w:u w:val="single"/>
                <w:rtl w:val="0"/>
              </w:rPr>
              <w:t xml:space="preserve">nav dota rīcības brīvība</w:t>
            </w:r>
            <w:r w:rsidR="00000000" w:rsidRPr="00000000" w:rsidDel="00000000">
              <w:rPr>
                <w:rtl w:val="0"/>
              </w:rPr>
              <w:t xml:space="preserve"> attiecībā uz Lēmuma Nr.2022/142 par ražošanas apjomu datu ziņošanu, tāpēc ministrija ir izvēlējusies efektīvāko veidu kā sagatavot un iesniegt prasītos datus", attiecīgi, tā šķietami nav jāaizpilda, jo atbilstoši skaidrojumam rīcības brīvības nav.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uz to, ka anotācijas 5.4. apakšpunkta 1. tabulas sadaļā, kur skaidrota dalībvalsts rīcības brīvības izmantošana, norāda, kā ir izmantota Eiropas Savienības tiesību aktā paredzētā rīcības brīvība dalībvalstij pārņemt vai ieviest noteiktas Eiropas Savienības tiesību akta normas un kādēļ? Papildus informācija, kas attiecināma uz tiesību normu pārņemšanu var tikt skaidrota sadaļā "Cita informācija".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Veidlapa Nr. 2 – Gaiss. Pārskats par gaisa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______. gads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izziņas 6. punktā minēto priekšlikumu, lūdzam pārskatīt veiktās darbības un nepieciešamības gadījumā labot projektu un/vai anotāciju. Izziņā norādīts, ka, pamatojoties uz izteikto priekšlikumu, ir veikti precizējumi un sniegti skaidrojumi, taču projekta pielikuma 2. tabulas apraksta 5. punkts ir tieši tādā pašā redakcijā kā sākotnēji iesniegtais. Attiecīgi nav skaidrs, kādi konkrēti labojumi ir veikti.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23-TA-753</w:t>
    </w:r>
    <w:r>
      <w:br/>
    </w:r>
    <w:r w:rsidR="00000000" w:rsidRPr="00000000" w:rsidDel="00000000">
      <w:rPr>
        <w:rtl w:val="0"/>
      </w:rPr>
      <w:t xml:space="preserve">Izdrukāts 23.11.2023. 17.54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23-TA-753</w:t>
    </w:r>
    <w:r>
      <w:br/>
    </w:r>
    <w:r w:rsidR="00000000" w:rsidRPr="00000000" w:rsidDel="00000000">
      <w:rPr>
        <w:rtl w:val="0"/>
      </w:rPr>
      <w:t xml:space="preserve">Izdrukāts 23.11.2023. 17.54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Atzinumi_23-TA-753.docx</dc:title>
</cp:coreProperties>
</file>

<file path=docProps/custom.xml><?xml version="1.0" encoding="utf-8"?>
<Properties xmlns="http://schemas.openxmlformats.org/officeDocument/2006/custom-properties" xmlns:vt="http://schemas.openxmlformats.org/officeDocument/2006/docPropsVTypes"/>
</file>