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lūdzam iekļaut norādi uz IZM TAP kontroles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izkļaut norādi anotācijas 1.3. sadaļā “grozīt Projekta ieguvumus un sasniedzamos rezultātus, kā arī to sasniegšanas termiņus”, jo projekta ieguvumi un sasniedzamie rādītāji netiek precizēti.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4.6. sadaļā norādītajām darbībām būs skaidri nodrošināma atbilstība 14.07.2022. MKN435 noteikumu 32.6.1.apakšpunktā norādītajam maksimālajam apjomam, ņemot vērā veiktos precizējumus projekta pases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minēts, ka precizēti projekta sadarbības partneri, izmaiņas šajā sadaļā nav veiktas (nav iekļauta Cēsu novada  pašvaldība un LVRTC), lūdzam atbilstoši precizēt. Vienlaikus lūdzam precizēt VARAM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13.03.2026.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13.03.2026.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Atzinumi_26-TA-283.docx</dc:title>
</cp:coreProperties>
</file>

<file path=docProps/custom.xml><?xml version="1.0" encoding="utf-8"?>
<Properties xmlns="http://schemas.openxmlformats.org/officeDocument/2006/custom-properties" xmlns:vt="http://schemas.openxmlformats.org/officeDocument/2006/docPropsVTypes"/>
</file>