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18 mēnešu laikā no dienas, kad pieņemts ES saraksts, šo noteikumu 2. punktā minētās iestādes veic visaptverošu analīzi par ES sarakstā iekļauto invazīvo sugu neapzinātas introdukcijas un izplatīšanās ceļiem Latvijas teritorijā un nosaka tos invazīvo sugu izplatības ceļus, kuriem nepieciešama prioritāra rīcība (turpmāk – invazīvo sugu prioritārie izplatības ceļi)  saistībā ar invazīvo sugu, kas pa šiem izplatīšanās ceļiem ienāk ES, to daudzumu vai iespējamo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piemēram, projekta 11. punktā (Eiropas Parlamenta un Padomes 2014. gada 22. oktobra Regulas (ES) Nr. 1143/2014 par invazīvu svešzemju sugu introdukcijas un izplatīšanās profilaksi un pārvaldību (turpmāk - Regula 1143/2014) 13. panta 1. punkts), 21. punktā (Regulas 1143/2014 8. panta 2. punkta 2.daļa), 41. un 52.punktā (Regulas 1143/2014 18. panta 1. punkts), 43. un 54. punkts (Regulas 1143/2014 18. panta 4. punkts) un visā projektā kopumā. 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atļaujas izsniegšanu un informācijas publiskošanu saskaņā ar Regulas 1143/2014 8.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20.1. apakšpunktā svītrot nosacījumu par informācijas publiskošanu, jo šajā apakšpunktā ietvertais regulējums noteikts atsevišķā projekta punktā - 30.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izsniegt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20.2. apakšpunktu, jo no apakšpunkta satura izriet, ka tajā minēti gadījumi, kas ir par pamatu atļaujas izsniegšanas atteikumam.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20.2.3. apakšpunkta nepieciešamību, jo atļauju izsniedz uz noteiktu termiņu un lai nodrošinātu atļauju darbības nepārtrauktību, noteiktu laiku pirms sākotnējās atļaujas termiņa beigām, persona, kurai nepieciešama attiecīga atļauja, iesniedz iesniegumu izdevējiestādē un tā, pamatojoties uz iesniegto informāciju, pieņem lēmumu izsniegt attiecīgu atļauju vai atteikt izsniegt attiecīgo atļauju. Projekta 20.2.3. apakšpunktā minēts nosacījums, lai iepriekš izsniegtu atļauju tās darbības laikā apturētu. Vēršam uzmanību, ka projekta 24.punkts jau regulē situāciju, kad atļaujas darbību aptur.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persona viena mēneša laikā nepilda šo noteikumu 27. punktā noteiktos invazīvās sugas likvidēšanas pasākumus, likvidēšanas pasākumus veic atļaujas izdevējiestāde. Saskaņā ar Administratīvā procesa likuma 369. panta otro daļu persona sedz izdevumus, kas saistīti ar invazīvās sugas īpatņu likvidēšanu.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28. punkta otro teikumu, jo tas dublē Administratīvā procesa likuma 369.panta otrajā daļā noteikto un ir pretrunā ar noteikumu Nr.108 3.2.apakšpunktā noteikto. Vienlaikus norādām, ka šajās normās ir pieļaujama vispārīga ārējā atsauce, ka attiecīgo lēmumu izpilde notiek Administratīvā procesa likumā noteiktajā kārtībā. Savukārt projekta anotācijā var sniegt lēmuma izpildes skaidrojumu. Līdzīgi piedāvājam precizēt arī projekta 45. un 56.punktu.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par sauszemes augu sugas atradni Dienests izdod administratīvo aktu un rakstveidā informē zemes īpašnieku, lietotāju vai tiesisko valdītāju, kurš saskaņā ar Dienesta norādītajām metodēm izskauž invazīvo sugu Dienesta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40. punktu, iekļaujot tajā regulējumu par to, kādu administratīvo aktu kompetentā iestāde izdod.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40.punktu, ņemot vērā, ka iestāde administratīvo aktu adresātam paziņo, nevis par to informē. Vienlaikus lūdzam precizēt arī projekta 51.punktu un projekta 73.2.apakšpunktu, paredzot, ka administratīvo aktu adresātam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izvērtējot projekta atbilstību regulu prasībām un sniedzot precīzu, korektu un pilnīgu tā atspoguļojumu anotācijas 5.4. apakšsadaļas 1. 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projektam konstatējama no anotācijas 5.4. apakšsadaļas 1. tabulas skaidrojumiem atšķirīga informācija par Regulas 1143/2014 ieviešanu. Piemēram, tās 4. pants ieviests projekta 4. punktā, bet 4. panta 4. punkts projekta 7. punktā, projekta 6. punkts regulas 1143/2014 5. panta 1. punktu, projekta 20. punkts Regulas 1143/2014 8. panta 2. un 3. punktu, savukārt 20.1.apakšpunkts  Regulas 1143/2014 8. panta 7. punktu u.tml. Tāpat, lūdzam ieviešanu atspoguļot precīzi, jo, piemēram, projekta 17. punkts neievieš visas šīs Regulas 1143/2014 vienības "8.2.,8.3.,8.5.,8.7.,8.8; 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tabulā norādīts uz vairāku regulas 1143/2014 vienību ieviešanu, kas nav pilnībā skaidrotas, lai tiesību normu adresātam nodrošinātu pilnīgu izpratni par to, kā tieši tās tiek ieviestas. Ņemot vērā regulas 1143/2014 redakciju, secināms, ka, piemēram, projekts noteikti neievieš regulas 1143/2014 5. panta 2. punktu, jo tas attiecas uz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skaidrots kā izmantotas visas Regulā 1143/2014 paredzētās rīcības brīvība dalībvalstij pārņemt vai ieviest noteiktas Eiropas Savienības tiesību akta normas? Kādēļ? Vēršam uzmanību, ka, piemēram, regulas 1143/2014 4. panta 4. punkts paredz, ka "</w:t>
            </w:r>
            <w:r w:rsidR="00000000" w:rsidRPr="00000000" w:rsidDel="00000000">
              <w:rPr>
                <w:i w:val="1"/>
                <w:rtl w:val="0"/>
              </w:rPr>
              <w:t xml:space="preserve">Dalībvalstis var iesniegt Komisijai pieprasījumus par invazīvu svešzemju sugu iekļaušanu Savienības sarakstā</w:t>
            </w:r>
            <w:r w:rsidR="00000000" w:rsidRPr="00000000" w:rsidDel="00000000">
              <w:rPr>
                <w:rtl w:val="0"/>
              </w:rPr>
              <w:t xml:space="preserve">", 9. panta 1. punkts "</w:t>
            </w:r>
            <w:r w:rsidR="00000000" w:rsidRPr="00000000" w:rsidDel="00000000">
              <w:rPr>
                <w:i w:val="1"/>
                <w:rtl w:val="0"/>
              </w:rPr>
              <w:t xml:space="preserve">[..] dalībvalstis var izsniegt iestādēm atļaujas veikt darbības, kas nav 8. panta 1. punktā paredzētās darbības</w:t>
            </w:r>
            <w:r w:rsidR="00000000" w:rsidRPr="00000000" w:rsidDel="00000000">
              <w:rPr>
                <w:rtl w:val="0"/>
              </w:rPr>
              <w:t xml:space="preserve">.", 12. panta 1. punkts, 17. panta 3. punkts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sugu novērtēšana iekļaušanai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atbilstoši juridiskās tehnikas prasībām, ievērojot, ka saīsinājumus piesaka pirmajā vietā juridiskajā tekstā, kur lietots attiecīgais saīsināmais jēdziens vai termins. Tāpat pieteiktie saīsinājumi konsekventi lietojami tālāk dokumenta 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pieteikt saīsinājumus tikai nepieciešamības gadījumā, proti, ja tādi nepieciešami. Minētais attiecas, piemēram, uz "Daugavpils Universitātes aģentūra “Latvijas Hidroekoloģijas institūts”" un tā saīsinājumu "Institūts" vai "valsts sabiedrība ar ierobežotu atbildību “Latvijas Vides, ģeoloģijas un meteoroloģijas centrs”" un tā saīsinājumu "LVĢMC".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projektā lietot vienveidīgu un precīzu terminoloģiju, nodrošinot tiesību normu adresātiem viegli uztveramu un nepārprotamu redakciju. Vēršam uzmanību, ka, piemēram, tiek lietots termins "invazīvo sugu saraksts", nekonkretizējot kāds. Proti, projekta 1. punktā pieteikti divi saīsinājumi "ES saraksts" un "Latvijas saraksts"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 saraksts noteikts saskaņā ar Eiropas Parlamenta un Padomes regulas (ES) Nr. 1143/2014 </w:t>
            </w:r>
            <w:r w:rsidR="00000000" w:rsidRPr="00000000" w:rsidDel="00000000">
              <w:rPr>
                <w:i w:val="1"/>
                <w:rtl w:val="0"/>
              </w:rPr>
              <w:t xml:space="preserve">par invazīvu svešzemju sugu introdukcijas un izplatīšanās profilaksi un pārvaldību</w:t>
            </w:r>
            <w:r w:rsidR="00000000" w:rsidRPr="00000000" w:rsidDel="00000000">
              <w:rPr>
                <w:rtl w:val="0"/>
              </w:rPr>
              <w:t xml:space="preserve"> (turpmāk — Regula Nr. 1143/2014) 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un turpmāk projektā lieto precīzu pieteikto saīsinājumu. Piemēram, Eiropas Parlamenta un Padomes 2014. gada 22. oktobra Regula (ES) Nr. 1143/2014 par invazīvu svešzemju sugu introdukcijas un izplatīšanās profilaksi un pārvaldību (turpmāk - Regula 1143/2014).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Pārvalde saskaņā ar Regulas 1143/2014 4. panta 4. punktu izvērtē svešzemju sugu riska novērtēšanas rezultātus un sagatavo pamatojumu sugas iekļaušanai ES sarakstā. Pārvalde pamatojumu sugas iekļaušanai ES sarakstā iesniedz Viedās administrācijas un reģionālās attīstības ministrijai (turpmāk - Ministrija). Ministrija iesniedz Eiropas Komisijai pieprasījumu par sugas iekļaušanu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7. punktu, ņemot vērā, ka  Regulas 1143/2014 4. panta 4. punkts paredz dalībvalstij rīcības brīvību, iespēju "</w:t>
            </w:r>
            <w:r w:rsidR="00000000" w:rsidRPr="00000000" w:rsidDel="00000000">
              <w:rPr>
                <w:i w:val="1"/>
                <w:rtl w:val="0"/>
              </w:rPr>
              <w:t xml:space="preserve">iesniegt Komisijai pieprasījumus par invazīvu svešzemju sugu iekļaušanu Savienības sarakstā</w:t>
            </w:r>
            <w:r w:rsidR="00000000" w:rsidRPr="00000000" w:rsidDel="00000000">
              <w:rPr>
                <w:rtl w:val="0"/>
              </w:rPr>
              <w:t xml:space="preserve">" un nosaka, kas šādā pieprasījumā iekļaujams. Savukārt, no projekta saprotams, ka Regulas 1143/2014 4. panta 4. punkts paredz nosacījumus attiecībā uz svešzemju sugu riska novērtēšanas rezultātu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2. punktā minētās iestādes izstrādāto rīcības plānu iesniedz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projektā neveidot liekas vienības, ja iespējams projekta redakciju veidot kompakti un pārskatāmi. Piemēram, projekta 13. punktā noteikto iespējams konsolidēt 12. punktā, piemēram: "</w:t>
            </w:r>
            <w:r w:rsidR="00000000" w:rsidRPr="00000000" w:rsidDel="00000000">
              <w:rPr>
                <w:i w:val="1"/>
                <w:rtl w:val="0"/>
              </w:rPr>
              <w:t xml:space="preserve">Šo noteikumu 2. punktā minētās iestādes, balstoties uz noteiktajiem invazīvo sugu prioritārās izplatības ceļiem, lai novērstu invazīvo sugu neapzinātu introdukciju vai izplatīšanos, sagatavo </w:t>
            </w:r>
            <w:r w:rsidR="00000000" w:rsidRPr="00000000" w:rsidDel="00000000">
              <w:rPr>
                <w:i w:val="1"/>
                <w:u w:val="single"/>
                <w:rtl w:val="0"/>
              </w:rPr>
              <w:t xml:space="preserve">un iesniedz Pārvaldei </w:t>
            </w:r>
            <w:r w:rsidR="00000000" w:rsidRPr="00000000" w:rsidDel="00000000">
              <w:rPr>
                <w:i w:val="1"/>
                <w:rtl w:val="0"/>
              </w:rPr>
              <w:t xml:space="preserve">rīcības plānu (turpmāk – rīcības plāns), kurā ietver</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Pārvalde nodrošina sadarbību un koordināciju ar citām valstīm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16. punkta nepieciešamību, ņemot vērā, ka jau 3. punktā noteikts, ka Dabas aizsardzības pārvalde ir koordinējošā iestāde invazīvo sugu jomā. Attiecīgi, saprotams, ka 3. punktā noteiktā koordinācijas funkcija sevī jau ietver arī "koordināciju ar citām valstīm bioģeogrāfiskā reģiona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Izņēmuma gadījumos, kas noteikti Regulas 1143/2014 8. panta 2. punktā vai Regulas 9. panta 1. punktā, minētās citas darbības ar invazīvām sugām drīkst veikt, ja ir saņemta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17. punktu, ņemot vērā, ka tikai regulas 1143/2014 9. panta 1. punktā noteikta "izņēmuma gadījuma" rīcība, bet 8. panta 2. punkts nosaka nevis izņēmuma gadījumus, bet to, ka "</w:t>
            </w:r>
            <w:r w:rsidR="00000000" w:rsidRPr="00000000" w:rsidDel="00000000">
              <w:rPr>
                <w:i w:val="1"/>
                <w:rtl w:val="0"/>
              </w:rPr>
              <w:t xml:space="preserve">Dalībvalstis pilnvaro savas kompetentās iestādes izdot 1. punktā minētās atļaujas darbībām, kas tiek veiktas ierobežotos turēšanas apstākļos un atbilst visiem šiem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adresātiem nodrošināt precīzu tiesību normu izpratni, precizējot vai skaidrojot, kas projekta 19. punkta kontekstā saprotams ar personām, kurām var būt nepieciešama projekta 17. punktā minētā atļauja, vai 21. punkta kontekstā par to, kā saprotama " ierobežota turēšanas apstākļu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atļauju izdevējiestādes noteiktas projekta 18., nevis 19. punktā. Lūdzam pārliecināties, ka projekta izmaiņu rezultātā ir aktualizētas visas iekšējās atsauces. Piemēram, arī 15. punktā domājams atsauce  "[..] šo noteikumu 12.-15. punktu" precizējama uz "12.-14. punktu", jo 15. punkts pats par sevi jau attiecas uz rīcības plāna aktualizēšanu.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Atļaujas izdevējiestādes uzrauga un kontrolē, kā tiek ievērota atļaujā ietverto nosacījumu izpilde atbilstoši Regulas 1143/2014 8. panta 2. un 3.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adresātiem nodrošināt izvērstu izpratni par atļaujās ietverto nosacījumu izpildes uzraudzību un kontroli, tik tālu cik tas skar privātpersonas, lai potenciālie atļauju saņēmēji būtu informēti par no atļaujas saņemšanas izrietošajiem tālākajiem procesiem, saistībām, ja tādas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Atļaujas izdevējiestāde anulē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regulas 1143/2014 8. panta 5. punktam "</w:t>
            </w:r>
            <w:r w:rsidR="00000000" w:rsidRPr="00000000" w:rsidDel="00000000">
              <w:rPr>
                <w:i w:val="1"/>
                <w:rtl w:val="0"/>
              </w:rPr>
              <w:t xml:space="preserve">Dalībvalstis pilnvaro savas kompetentās iestādes jebkurā brīdī uz laiku vai pavisam anulēt dalībvalsts izdotu atļauju j</w:t>
            </w:r>
            <w:r w:rsidR="00000000" w:rsidRPr="00000000" w:rsidDel="00000000">
              <w:rPr>
                <w:i w:val="1"/>
                <w:u w:val="single"/>
                <w:rtl w:val="0"/>
              </w:rPr>
              <w:t xml:space="preserve">a notiek neparedzēti notikumi ar kaitīgu ietekmi uz bioloģisko daudzveidību vai attiecīgajiem ekosistēmu pakalpojumiem</w:t>
            </w:r>
            <w:r w:rsidR="00000000" w:rsidRPr="00000000" w:rsidDel="00000000">
              <w:rPr>
                <w:rtl w:val="0"/>
              </w:rPr>
              <w:t xml:space="preserve">". Iesakām izvērtēt projekta 25. punkta atbilstību minētajai tiesību normai un nepieciešamības gadījumā veikt precizējumus vai izvērst skaidrojumus, nodrošinot izpratni par projekta vienības satura atbilstību regulā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uzraudzību aizsardzībai pret ES sarakstā un Latvijas sarakstā iekļautām invazīvām augu sugām veic  Dienests, ES saraksta un Latvijas saraksta invazīvām medījamām dzīvnieku sugām – Valsts meža dienests, visām citām invazīvajām sugām veic – Pārvalde. Ja invazīvas sugas ienākšana saistīta ar audzēšanas, turēšanas vai tirdzniecības vietu, kuras uzraudzība ir citas iestādes kompetencē, sugas klātbūtni nosaka iestāde, kura uzrauga audzēšanas, turēšanas vai tirdzniecības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ES sarakstā vai Latvijas sarakstā iekļautu invazīvo sugu, iestāde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33. punktu kontekstā ar 2. punktā jau noteikto un izvairīties no liekas satura pārrakstīšanas. Tāpat atbilstoši projekta 2. punktam Valsts augu aizsardzības dienests ir kompetentā iestāde par invazīvām </w:t>
            </w:r>
            <w:r w:rsidR="00000000" w:rsidRPr="00000000" w:rsidDel="00000000">
              <w:rPr>
                <w:u w:val="single"/>
                <w:rtl w:val="0"/>
              </w:rPr>
              <w:t xml:space="preserve">sauszemes </w:t>
            </w:r>
            <w:r w:rsidR="00000000" w:rsidRPr="00000000" w:rsidDel="00000000">
              <w:rPr>
                <w:rtl w:val="0"/>
              </w:rPr>
              <w:t xml:space="preserve">augu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Pārtikas un veterinārais dienests veic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34. punktu, ņemot vērā, ka jau no 2.5.2. apakšpunkta izriet, ka Pārtikas un veterinārais dienests ir kompetentā iestāde invazīvo sugu jomā, par sugu sastāva kontroli savvaļas sugu dzīvnieku turēšanas vietās. Līdzīgi vēršam uzmanību arī uz projekta 35. punktu kontekstā ar 2.5.1.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2. punktā minētās iestādes piecu darbdienu laikā apstiprina sugas klātbūtni un par apstiprināšanu nekavējoties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37. punktā ietverto norādi uz iestāžu pienākumu apstiprināt </w:t>
            </w:r>
            <w:r w:rsidR="00000000" w:rsidRPr="00000000" w:rsidDel="00000000">
              <w:rPr>
                <w:u w:val="single"/>
                <w:rtl w:val="0"/>
              </w:rPr>
              <w:t xml:space="preserve">sugu klātbūtni</w:t>
            </w:r>
            <w:r w:rsidR="00000000" w:rsidRPr="00000000" w:rsidDel="00000000">
              <w:rPr>
                <w:rtl w:val="0"/>
              </w:rPr>
              <w:t xml:space="preserve">, jo, ņemot vērā projekta kontekstu, šķiet domāta i</w:t>
            </w:r>
            <w:r w:rsidR="00000000" w:rsidRPr="00000000" w:rsidDel="00000000">
              <w:rPr>
                <w:u w:val="single"/>
                <w:rtl w:val="0"/>
              </w:rPr>
              <w:t xml:space="preserve">nvazīvās sugas klātbūtne</w:t>
            </w:r>
            <w:r w:rsidR="00000000" w:rsidRPr="00000000" w:rsidDel="00000000">
              <w:rPr>
                <w:rtl w:val="0"/>
              </w:rPr>
              <w:t xml:space="preserve">. Tas pats attiecināms arī uz 48. punktu. Vienlaikus vēršam uzmanību, ka abas tiesību normas ir pilnībā identiskas, saturiski pārklājas arī citas 5. nodaļas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invazīvās sugas klātbūtne tiek apstiprināta, Pārvalde informē Ministriju. Ministrija saskaņā ar Regulas 1143/2014 16. pantu par invazīvās sugas agrīnas invāzijas gadījumu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projektā ietvertās atsauces uz regulu vienībām, ņemot vērā, ka, piemēram, regulas 1143/2014 16. pants satur vairākas apakšvienības, no kurām tieši 2. punktā noteikts dalībvalsts ziņošanas pienākums un tā nosacījumi. Proti, lūdzam atsauces formulēt precīzi, lai tiesību normu adresātam nodrošinātu precīzu projekta vienību un ar tām saistīto Eiropas Savienības tiesību normu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Agrīni atklātas un apstiprinātas invazīvas sugas gadījumā šo noteikumu 2. pantā minētā iestāde saskaņā ar Regulas 1143/2014 18. pantu trīs nedēļu laikā izvērtē invazīvās sugas izskaušanas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39. punktu, ņemot vērā, ka saskaņā ar Regulas 1143/2014 18. panta 1. punktu dalībvalsts divos mēnešos pēc invazīvās svešzemju sugas konstatēšanas var izlemt nepiemērot izskaušanas pasākumus. Proti, saprotams, ka invazīvo sugu izskaušanas vērtēšana var notikt ilgāk par projektā noteiktajām trīs nedēļām. Lūdzam veikt nepieciešamos precizējumus vai skaidrot stingrāka termiņa nosacījuma piemērošanu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invazīvās sugas izskaušanas iespējas pastāv, tad saskaņā ar Regulas 1143/2014 17. panta 2. punktu divu mēnešu laikā no invazīvās sugas klātbūtnes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40. punktu, ņemot vērā, ka  Regulas 1143/2014 17. panta 1. punkts nosaka, ka dalībvalstis veic izskaušanas pasākumus un paziņo par tiem Eiropas Komisijai, un pārējām dalībvalstīm trīs mēnešos pēc agrīnas atklāšanas paziņošanas. Līdzīgi vēršam uzmanību arī uz projekta 45. punktu, kur noteikts, ka saskaņā ar iepriekš minēto regulas vienību personai izskaušanas pasākumi veicami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nepieciešamos precizējumus vai pamatot stingrāku termiņu nosacījumu piemērošanu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2. punktā minētās iestādes saskaņā ar Regulas 1143/2014 18. panta 1. un 6. punktu par pamatojumu nepiemērot invazīvās sugas izskaušanas pasākumus nekavējoties informē Pārvaldi. Pārvalde par  invazīvās sugas izskaušanas pasākumu nepiemērošanu informē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 vai projekta 42. punktā korekti noteikts, ka tā 2. punktā minētās iestādes informē Pārvaldi saskaņā ar Regulas 1143/2014 18. panta 6. punktu, kas sevī ietver komunikāciju ar Eiropas Komisiju tās informēšanai un lēmuma saskaņošanai. Atbilstoši projektam komunikācija starp Latviju kā dalībvalsti un Eiropas Komisiju notiek caur Viedās administrācijas un reģionālās attīstības ministriju. Attiecīgi projekta 2. punktā minētajām iestādēm nav pieejama informācija par no Regulas 1143/2014 18. panta 6. punkta izrietošo Eiropas Komisijas lēmumu nenoraidīt lēmumu nepiemērot invazīvās sugas izskaušanas pasākumus, lai nekavējoties rīkotos saskaņā ar Regulas 1143/2014 18. panta 6. punktu, kā noteikts 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Par ES sarakstā iekļauto sugu izskaušanas pasākumiem Ministrija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ietvert tikai tādu regulējumu, kas skar privātpersonas vai vairākas iestādes un neietvert normas (piemēram, 46. un 57. punkts), kas attiecas uz pašu ministriju. Tāpat lūdzam ievērot, ka saskaņā ar Līguma par Eiropas Savienības darbību 288. panta otro daļu regulas ir vispārpiemērojamas. Tās uzliek saistības kopumā, ir tieši piemērojamas visās dalībvalstīs un tās automātiski kļūst par nacionālās tiesību sistēmas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ir pietiekami noteikt ministrijas atbildību invazīvo sugu introdukcijas un izplatīšanās profilakses un pārvaldības jomā un projekta kontekstā, lai tā varētu pildīt no regulas izrietošos informācijas apmaiņas pienākumus un projektā nebūtu jāuzskaita katrs informācijas sniegšanas pienākums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arī uz 76. punktā noteikto prasību grozīt cenrāžus. Nepieciešamības gadījumā, šādus pienākumus iesakām ietver 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Iegūstot informāciju monitoringa programmās un citos avotos par Latvijas saraksta invazīvās sugas agrīnas invāzijas gadījumu šo noteikumu 2. punktā minētās iestādes apmainās ar informāciju ar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47. un 36. punkta formulējumus, ņemot vērā, ka, projekta 36. punkta norāde "invazīvās sugas agrīnas invāzijas gadījumu" ir tik plaša, ka sevī aptver gan 47.punktā minētos "Latvijas saraksta invazīvās sugas agrīnas invāzijas gadījumus", gan "ES saraksta invazīvās sugas agrīnas invāzijas gadījumus".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Pārvalde apkopo sabiedrības novērojumus, sugu un biotopu izpētes un citu darbību rezultātā iegūtus datus par invazīvajām sugām. Iestādes apmainās ar datiem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nepieciešamību noteikt projekta 2. punktā minētajām iestādēm apmainīties ar datiem, ja apmaiņa ar datiem notiek arī ar Dabas aizsardzības pārvaldi, kura informāciju apkopo un saskaņā ar 58. punktu, uztur ģeotelpisko un cita veida informāciju par invazīvajām sugām. Proti, ja datubāzes satur visu iestādēm nepieciešamo informāciju, šķietami lietderīgāk ir vienkārši nodrošināt iestādēm pieejamību datubāzēm novēršot birokrātiski liekas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persona (juridiskās personas nosaukums vai fiziskās personas vārds un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un kādēļ, publicējot informāciju par invazīvās sauszemes augu sugas izplatību, nepieciešams publicēt "persona (juridiskās personas nosaukums vai fiziskās personas vārds un uzvārds)", ja tam nav tiešas saistības ar  invazīvās sauszemes augu sugas izplatību. Šajā situācijā, domājams, svarīgāk identificēt invazīvo augu sugu, teritoriju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Zemes īpašnieks, lietotājs vai tiesiskais valdītājs, lai īstenotu plaši izplatītu invazīvo sugu pārvaldības pasākumus, ir tiesīgs piesaistīt arī ES un nacionālo atbalsta programmu līdzekļus (no valsts vai pašvaldību atbalsta programmām, kā arī ārvalstu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izvairīties no skaidrojuma sniegšanas iekavās un pieturzīmi iekavas aizstāt ar pieturzīmi komats, ja tas nepieciešams, skaidrojumu sniegt anotācijā vai precizēt formulējumus projektā. Iekavās ietvertais teksts var būt būtisks tiesību normas piemērošanā. Norādām, ka iekavās ietverti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Plaši izplatījušos Latvijas saraksta sugu ierobežošanas un iznīcināšanas pasākumus un metodes ietver Ministru kabineta noteikumos Latvijas invazīvo sugu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noformēt atbilstoši Ministru kabineta 2009. gada 3. februāra noteikumu Nr. 108 „Normatīvo aktu projektu sagatavošanas noteikumi” 3.7. apakšnodaļas nosacījumiem. Proti, ievērojot šādu atsauču formu: Ministru kabineta 2009. gada 3. februāra noteikumu Nr. 108 „Normatīvo aktu projektu sagatavošanas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nav spēkā esošu "Ministru kabineta noteikumu Latvijas invazīvo sugu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darbībām ar invazīvām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 pielikuma failam tā nosaukums ir "Iesniegums invazīvās dzīvnieku sugas īpatņu turēšanai nebrīvē", nevis vispārīgi "Iesniegums darbībām ar invazīvām sugām". Līdzīgi vēršam uzmanību arī uz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05.12.2025.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05.12.2025.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