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ka likumprojektā aptverti vairāki būtiski grozījumi, kas izriet no ES direktīvu prasībām un Nacionālā enerģētikas un klimata plāna 2021.-2030.gadam, likumprojekts skar plašu jautājumu loku un attiecas uz visiem elektroenerģijas tirgus dalībniekiem, lūdzu izvērtēt iespēju paredzēt likuma pēcpārbaudes (ex-post) ietekmes novērtēšanu pēc trīs likuma darbības gadiem. Ex-post ietvaros būtu jāparedz novērtējums par likuma ietekmi uz elektroenerģijas tirgus sektora attīstību, elektroenerģijas ražotāju un lietotāju piekļuvi elektroenerģijas sistēmai un informācijas pieejamību elektroenerģijas lietotājiem. Atbilstoši Ministru kabineta 2021. gada 7. septembra noteikumu Nr.617 "Tiesību akta projekta sākotnējās ietekmes izvērtēšanas kārtība" 20.punktam, ja projektam paredzēta tiesību akta pēcpārbaudes ietekmes (ex-post) izvērtēšana, šo informāciju iekļauj anotācijā, norādot pamatojumu, termiņu, kā arī projekta mērķa sasniegšanas rezultātus un to vērtēšanas rādītājus.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izmaksu aprēķinā, kas norādīts sadales sistēmas operatoriem, ņemot vērā, ka nav zināms sadales sistēmas operatoru lietotāju skaits, kam ir jāmaina esošie elektroenerģijas komercuzskaites mēraparāti, aprēķins veicams par 1 subjektu (par vienu sadales sistēmas operatoru lietotāju).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01.08.2024.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01.08.2024.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Atzinumi_22-TA-1828.docx</dc:title>
</cp:coreProperties>
</file>

<file path=docProps/custom.xml><?xml version="1.0" encoding="utf-8"?>
<Properties xmlns="http://schemas.openxmlformats.org/officeDocument/2006/custom-properties" xmlns:vt="http://schemas.openxmlformats.org/officeDocument/2006/docPropsVTypes"/>
</file>