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4.9.3.-1.5. "Maksājuma administrēšanas informācijas sistēmas (turpmāk – MAIS) 2.etapa un 3.etapa izstrāde, lai pilnveidotu nodokļu administrēšanas procesu un mazinātu administratīvo slogu, kā arī lai izveidotu jaunu risinājumu datu apmaiņai ar Latvijas Republikas Uzņēmumu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un vai šī uzdevuma izpilde ietekmēs Uzņēmumu reģistru. Ja arī Uzņēmumu reģistra pusē, Valsts ieņēmumu dienesta uzdevuma izpildes ietvaros, ir nepieciešami kādi sistēmas pielāgojumi, jārisina jautājums par papildu finansējuma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Laganovska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nepieciešamo finansējumu pasākumam "Elektroniskās maksātnespējas uzskaites sistēmas attīstība un digitālās vides uzlabošana - uzraudzības rīku pilnveidošana, E-pakalpojuma attīstība, saslēgumi ar citām IS". Papildus precizētā tabula nosūt[ita sagatavotājiem.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38"/>
              <w:gridCol w:w="918"/>
              <w:gridCol w:w="918"/>
              <w:gridCol w:w="918"/>
              <w:gridCol w:w="918"/>
              <w:gridCol w:w="918"/>
              <w:gridCol w:w="918"/>
              <w:gridCol w:w="918"/>
              <w:gridCol w:w="918"/>
              <w:gridCol w:w="918"/>
              <w:tblGridChange w:id="0">
                <w:tblGrid>
                  <w:gridCol w:w="938"/>
                  <w:gridCol w:w="918"/>
                  <w:gridCol w:w="918"/>
                  <w:gridCol w:w="918"/>
                  <w:gridCol w:w="918"/>
                  <w:gridCol w:w="918"/>
                  <w:gridCol w:w="918"/>
                  <w:gridCol w:w="918"/>
                  <w:gridCol w:w="918"/>
                  <w:gridCol w:w="918"/>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programmas (apakš-programmas) kods un nosaukums</w:t>
                  </w:r>
                </w:p>
              </w:tc>
              <w:tc>
                <w:tcPr>
                  <w:shd w:fill="ffffff"/>
                  <w:vAlign w:val="center"/>
                  <w:noWrap w:val="true"/>
                  <w:vMerge w:val="restart"/>
                  <w:gridSpan w:val="3"/>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 termiņa budžeta ietvara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finansējums</w:t>
                  </w:r>
                </w:p>
              </w:tc>
              <w:tc>
                <w:tcPr>
                  <w:shd w:fill="ffffff"/>
                  <w:vAlign w:val="center"/>
                  <w:noWrap w:val="true"/>
                  <w:vMerge w:val="restart"/>
                  <w:gridSpan w:val="6"/>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papildu finansējums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turpmākajā laikposmā līdz pasākuma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pasākuma īstenošana ir terminēta)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pasākuma izpilde nav terminēta)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06.03.00. "Maksātnespējas procesa pārvaldība"***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219573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212809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212809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212809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212809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212809</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03.01.00. "Tiesu administrēšana"***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795671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742011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805951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209316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209316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209316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Detalizēti finansējuma aprēķini par pasākumiem, kuriem nepieciešams papildu valsts budžeta finansējums, tiks iekļauti izstrādājot plānošanas dokumentus, normatīvos aktus un prioritāro pasākumu pieteikumu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Paturska (MKD)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1.Tiesu administrācija kā e-lietas programmas vadošā iestāde izsaka priekšlikumu: Ievērojot E-lietas uzraudzības padomes 2022.gada 26.augusta un 2023.gada 16.marta sēdēs nolemto, kā arī Tieslietu ministrijas 2023.gada 1.jūnija vēstulē Nr.1-13.10/1738) Par nepieciešamo finansējumu e-lietas programmai un citiem Tieslietu ministrijas digitalizācijas pasākumiem 2021-2027. gada periodam norādīto par e-lietas prioritātēm un finansējuma piesaisti DTP plāna pielikumā Ietekmes novērtējumā uz valsts un pašvaldību budžetu, ir nepieciešams ietvert Tieslietu ministrijas norādītās e-lietas prioritātes un to finansējuma apmēra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2.Papildus, lūgums VARAM informēt Tieslietu ministriju un Tiesu administrāciju par citām iespējām, kur elietas norādītajām priioritātēm piesaistīt papildus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Jorens Liopa (TA)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veikt izmaiņas Tabulā attiecībā uz  Pasākumiem Nr. 4.5.1. - 1.2. un Nr. 4.9.2. - 1.3. nepieciešamo papildu finansējumu un īstenošanas periodu. </w:t>
            </w:r>
            <w:r w:rsidR="00000000" w:rsidRPr="00000000" w:rsidDel="00000000">
              <w:rPr>
                <w:b w:val="1"/>
                <w:u w:val="single"/>
                <w:rtl w:val="0"/>
              </w:rPr>
              <w:t xml:space="preserve">Precizēta Tabula nosūtīta sagatavotājam.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Rācene-Krūmiņa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“Digitālās transformācijas pamatnostādņu 2021.-2027. gadam ieviešanas plāna 2023.-2027. gadam Ietekmes novērtējuma uz valsts un pašvaldību budžetu” ( turpmāk – Tabula) Pasākumiem Nr. 4.5.1. - 1. (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"E-lietas programma – izmeklēšanas un tiesvedības procesu pilnveide – 2.posms" ) un Nr. 4.11. - 4.4. ( Eiropas Savienības Atveseļošanas un noturības mehānisma plāna 2. komponentes "Digitālā transformācija" reformas 2.1.1.r. "Valsts procesu un pakalpojumu modernizācija un digitālā transformācija" investīcijas 2.1.1.1.i. "Pārvaldes modernizācija un pakalpojumu digitālā transformācija, tai skaitā uzņēmējdarbības vide" projekta "Uzņēmumu reģistra datu apstrādes un pakalpojumu modernizācija”), TM vērš uzmanību, ka investīcijas projektu īstenošanai nepieciešamais finansējums, tai skaitā pievienotās vērtības nodokļa (PVN) izmaksu segšanai Tieslietu ministrijas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 (22-TA-2869 un 22-TA-2943).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Rācene-Krūmiņa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tam, ka TM ir informējusi Vides aizsardzības un reģionālās attīstības ministriju (turpmāk – VARAM) par e-lietas programmas tālākai attīstībai  nepieciešamo papildus finansējumu (01.06.2023. vēstule Nr.1-13.10/1738). Vēstulē tika norādītas e-lietas programmas svarīgākās vajadzības un nepieciešamais finansējuma apjoms (jāatzīmē, ka jaunās aktivitātes/vajadzības, kas tika identificētas vēlāk, Plāna projektā iepriekšējās saskaņošanās netika iekļautas). VARAM savā atbildes vēstulē (20.06.2023. vēstule Nr.11-1/3497) norādījusi, ka e-lietas programmas identificētās prioritātes tiek iekļautas nozaru identificēto prioritāšu sarakstā, lai iespēju gadījumā veiktu nepieciešamos precizējumus  VARAM pārraudzībā esošajās Eiropas Savienības finanšu avotu programmās. Ņemot vērā to, ka šajā Plānā un Ietekmes novērtējums uz valsts un pašvaldību budžetā nav iekļautas TM vēstulē minētās aktivitātes, lūdzam VARAM izskatīt iespēju precizēt šo Plānu, iekļaujot nepieciešamo informāciju par nepieciešamo papildu finansējumu, vai arī sniegt informāciju par citām iespējām piesaistīt e-lietas programmai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Karlivāne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to, ka Digitālās transformācijas pamatnostādņu 2021.-2027. gadam ieviešanas plāna 2023.-2027. gadam  (turpmāk – Plāns) 4.5.1. - 1.1. uzdevuma “E-lietas platformas izveide (Procesu norises elektroniskā vidē valsts platformas likums)” kolonnā “Darbības rezultāts” ir norādīti šādi rezultāti: 5) Tieslietu resora un e-lietu veidojošo IS migrācijas plāns un migrācija uz “federēto” mākoni un 6) Satversmes tiesas, Konkurences padomes un Finanšu izlūkošanas dienesta informācijas sistēmu iekļaušanās vienotā E-lietas arhitektūrā, pielāgojot to IS datu savstarpējai apmaiņai E-lietas platformā, kā arī kolonnā “Rezultatīvais rādītājs” ir norādīti šādi rādītāji: 5) Izstrādāts migrācijas plāns un īstenota migrācija; 6) Satversmes tiesa, Konkurences padome un Finanšu izlūkošanas dienests izmanto E-lietas platformu datu apmaiņai. Īstenota Finanšu izlūkošanas dienesta informācijas sistēmas integrācija ar E-lietas platformu, Tieslietu ministrija (turpmāk – TM) ir veikusi attiecīgus precizējumus Plāna Ietekmes novērtējums uz valsts un pašvaldību budžetā, proti, budžeta pozīcija 4.5.1. - 1.1. papildināta ar apakšpozīcijām: “TM (IKT infrastruktūras  migrācijas detalizētā plāna izstrāde)”; “TM (IS un Infrastruktūras migrācija )”; Satversmes tiesas integrācija e-lietas platformā (norādot katrai darbībai nepieciešamo finansējumu par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Karlivāne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