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botāniskā dārza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3.3. apakšpunkts paredz mācību nodarbību vispārizglītojošo skolu audzēkņiem, taču profesionālās izglītības izglītojamiem mācību nodarbības noteikumu projekta pielikumā nav paredzētas. Lūdzam papildināt noteikumu projekta pielikumu ar piedāvājumu profesionālās izglītības izglītojamiem. Vēršam uzmanību, ka profesionālajā izglītībā arī apgūst vispārizglītojošos priekšmetus, gan arī tiek īstenotas profesionālās izglītības programmas, kuras ir saistītas ar dabas zinātnēm un vides izglītību, piemēram, profesionālās vidējās izglītības programma "Vide un ūdenssaimniecība" ar profesionālo kvalifikāciju "vides tehniķis", profesionālās vidējās izglītības programma "Vides dizains" ar profesionālajām kvalifikācijām "Vides dizainera asistents" un "Ārtelpu dizainera asistents".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23.09.2024.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23.09.2024.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Atzinumi_24-TA-1164.docx</dc:title>
</cp:coreProperties>
</file>

<file path=docProps/custom.xml><?xml version="1.0" encoding="utf-8"?>
<Properties xmlns="http://schemas.openxmlformats.org/officeDocument/2006/custom-properties" xmlns:vt="http://schemas.openxmlformats.org/officeDocument/2006/docPropsVTypes"/>
</file>