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pauž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9.2. ir noteikts šāds uzraudzības rādītājs –  komersantu skaits, kam nodrošināta digitālo pamatprasmju apguve līdz 2025. gada 30. jūnijam, – 1886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noteikuma projekta redakciju 9.2.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redakcija nosaka, ka līdz 2025. gada 30. jūnijam ir jāsasniedz uzraudzības rādītājs 1886 neunikālie komersanti, kam nodrošināta digitālo pamatprasmju apguve.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noteikuma projektu tiek kardināli palielināts uzraudzības rādītājs, paredzot, ka digitālo prasmju apguve ir jānodrošina 1886 unikālajiem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lielā daļā nozaru, kuru pārstāvošās biedrības ir iesniegušas projektu pieteikumus digitālo prasmju apguvei, nav tik daudz komersantu, lai nodrošinātu plānotā rādītāja sasniegšanu. Līdz ar to noteikumu izmaiņu rezultātā tiek apdraudēta jau iesniegto projektu īstenošana un pastāv ļoti liela varbūtība, ka līgumi par digitālo prasmju apguves projektu īstenošanu, netiks noslēgti.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projektu iesniedzēji spēs īstenot iesniegtos projektus, noteikumu projekta 9.2. punktā noteiktais uzraudzības rādītājs ir jāsamazina vismaz par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53.  Projekta vadības izmaksas, tai skaitā darba devēja valsts sociālās apdrošināšanas obligātās iemaksas, nepārsniedz 20 % no Atveseļošanās noturības mehānisma plāna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projekta redakciju 53.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izziņā minēto, ka Ekonomikas ministrija ir ņēmusi vērā iebildumu par nepieciešamību saglabāt līdzšinējo noteikumu redakciju un nepasliktināt situāciju organizācijām, kas uzņemas projektu vadību, noteikumu projektā atbilstošas izmaiņas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izmaiņas noteikumu projekta 53.punktā, saglabājot līdzšinējo noteikumu redakciju, kas nosaka, ka projekta vadības izmaksas, tai skaitā darba devēja valsts sociālās apdrošināšanas obligātās iemaksas, nepārsniedz 20% no kopējām projekta iesniegumā apstiprinātajām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ir norādīta pie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22.03.2024.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22.03.2024.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Atzinumi_24-TA-111.docx</dc:title>
</cp:coreProperties>
</file>

<file path=docProps/custom.xml><?xml version="1.0" encoding="utf-8"?>
<Properties xmlns="http://schemas.openxmlformats.org/officeDocument/2006/custom-properties" xmlns:vt="http://schemas.openxmlformats.org/officeDocument/2006/docPropsVTypes"/>
</file>