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noslēpuma, Ziemeļatlantijas līguma organizācijas, Eiropas Savienības un ārvalstu institūciju klasificētās informācijas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36. punkta otrais teikums ir pretrunā ar tā paša punkta trešo teikumu, proti, otrajā teikumā ir iespējamība, ka slepenības režīmu vai sevišķo lietvedību institūcijā nodrošina viens darbinieks vai amatpersona, savukārt, trešajā teikumā ir noteikts aizliegums vienam un tam pašam darbiniekam vai amatpersonai veikt slepenības režīma nodrošināšanas un sevišķās lietvedības organizēšanas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pārpratumus un dažādu interpretāciju iespējamību, lūdzam precizēt noteikumu projekta.36.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02.11.2023.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02.11.2023.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Atzinumi_23-TA-1964.docx</dc:title>
</cp:coreProperties>
</file>

<file path=docProps/custom.xml><?xml version="1.0" encoding="utf-8"?>
<Properties xmlns="http://schemas.openxmlformats.org/officeDocument/2006/custom-properties" xmlns:vt="http://schemas.openxmlformats.org/officeDocument/2006/docPropsVTypes"/>
</file>