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nosacījumu izpildi, plānošanas reģiona pārstāvis piedalās projektu iesniegumu vērtēšanas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likuma 21.pants nosaka, ka projektu iesniegumu vērtēšanai sadarbības iestāde izveido projektu iesniegumu vērtēšanas komisiju, kuras sastāvā ir vismaz viens pārstāvis no atbildīgās iestādes, kuras pārziņā ir attiecīgais specifiskā atbalsta mērķis, un attiecīgās nozares ministrijas pārstāvis (ja attiecināms). Ministru kabinets var noteikt citus papildu nosacījumus projektu iesniegumu vērtēšanas komisijas izveidei</w:t>
            </w:r>
            <w:r w:rsidR="00000000" w:rsidRPr="00000000" w:rsidDel="00000000">
              <w:rPr>
                <w:u w:val="single"/>
                <w:rtl w:val="0"/>
              </w:rPr>
              <w:t xml:space="preserve">, ja tas izriet no Eiropas Savienības un Latvijas Republikas normatīvajiem aktiem.</w:t>
            </w:r>
            <w:r w:rsidR="00000000" w:rsidRPr="00000000" w:rsidDel="00000000">
              <w:rPr>
                <w:rtl w:val="0"/>
              </w:rPr>
              <w:t xml:space="preserve"> Aicinām papildināt noteikumu projekta anotāciju ar informāciju uz kāda normatīvā akta pamata plānošanas reģiona pārstāvis piedalīsies projekta iesniegumu vērtēšanas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noteikumos iekļauto prasību atbilstību Valsts ugunsdzēsības un glābšanas dienesta izstrādātajām </w:t>
            </w:r>
            <w:r w:rsidR="00000000" w:rsidRPr="00000000" w:rsidDel="00000000">
              <w:rPr>
                <w:i w:val="1"/>
                <w:rtl w:val="0"/>
              </w:rPr>
              <w:t xml:space="preserve">Vadlīnijām (rekomendācijām) par minimālajām prasībām III kategorijas patvertnes ierīkošanai</w:t>
            </w:r>
            <w:r w:rsidR="00000000" w:rsidRPr="00000000" w:rsidDel="00000000">
              <w:rPr>
                <w:rtl w:val="0"/>
              </w:rPr>
              <w:t xml:space="preserve">, lūdzam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14.1.apakšpunktu</w:t>
            </w:r>
            <w:r w:rsidR="00000000" w:rsidRPr="00000000" w:rsidDel="00000000">
              <w:rPr>
                <w:rtl w:val="0"/>
              </w:rPr>
              <w:t xml:space="preserve"> papildināt ar jaunu apakšpunktu, iekļaujot obligāti ieviešamu nosacījumu par telpu apdares materiāliem: </w:t>
            </w:r>
            <w:r w:rsidR="00000000" w:rsidRPr="00000000" w:rsidDel="00000000">
              <w:rPr>
                <w:i w:val="1"/>
                <w:rtl w:val="0"/>
              </w:rPr>
              <w:t xml:space="preserve">telpu apdarei izmantoti nedegoši un nedrūpoši materiāli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w:t>
            </w:r>
            <w:r w:rsidR="00000000" w:rsidRPr="00000000" w:rsidDel="00000000">
              <w:rPr>
                <w:b w:val="1"/>
                <w:rtl w:val="0"/>
              </w:rPr>
              <w:t xml:space="preserve">14.1.2.apakšpunktu</w:t>
            </w:r>
            <w:r w:rsidR="00000000" w:rsidRPr="00000000" w:rsidDel="00000000">
              <w:rPr>
                <w:rtl w:val="0"/>
              </w:rPr>
              <w:t xml:space="preserve">, paredzot, ka: </w:t>
            </w:r>
            <w:r w:rsidR="00000000" w:rsidRPr="00000000" w:rsidDel="00000000">
              <w:rPr>
                <w:i w:val="1"/>
                <w:rtl w:val="0"/>
              </w:rPr>
              <w:t xml:space="preserve">sienas un griestu pārsegumi ir uzbūvēti no dzelzsbetona, blokiem vai ķieģeļiem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14.2.1.apakšpunktu</w:t>
            </w:r>
            <w:r w:rsidR="00000000" w:rsidRPr="00000000" w:rsidDel="00000000">
              <w:rPr>
                <w:rtl w:val="0"/>
              </w:rPr>
              <w:t xml:space="preserve"> precizēt šādā redakcijā: “</w:t>
            </w:r>
            <w:r w:rsidR="00000000" w:rsidRPr="00000000" w:rsidDel="00000000">
              <w:rPr>
                <w:i w:val="1"/>
                <w:rtl w:val="0"/>
              </w:rPr>
              <w:t xml:space="preserve">nodrošināta iespēja iekļūt ar bērnu ratiņiem un cilvēkiem ratiņkrēslos patstāvīgi vai ar līdzcilvēku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14.5.1.apakšpunktu </w:t>
            </w:r>
            <w:r w:rsidR="00000000" w:rsidRPr="00000000" w:rsidDel="00000000">
              <w:rPr>
                <w:rtl w:val="0"/>
              </w:rPr>
              <w:t xml:space="preserve">papildināt šādā redakcijā: “</w:t>
            </w:r>
            <w:r w:rsidR="00000000" w:rsidRPr="00000000" w:rsidDel="00000000">
              <w:rPr>
                <w:i w:val="1"/>
                <w:rtl w:val="0"/>
              </w:rPr>
              <w:t xml:space="preserve">nodrošināti sanitārajām un higiēnas prasībām atbilstoši apstākļi, tai skaitā pieejamība dzeramajam ūdenim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w:t>
            </w:r>
            <w:r w:rsidR="00000000" w:rsidRPr="00000000" w:rsidDel="00000000">
              <w:rPr>
                <w:b w:val="1"/>
                <w:rtl w:val="0"/>
              </w:rPr>
              <w:t xml:space="preserve">anotācijā</w:t>
            </w:r>
            <w:r w:rsidR="00000000" w:rsidRPr="00000000" w:rsidDel="00000000">
              <w:rPr>
                <w:rtl w:val="0"/>
              </w:rPr>
              <w:t xml:space="preserve"> aprakstu par dzeramā ūdens pieejamības risinājumiem patvertnēs, norādot plānotās darbības to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24.4.apakšpunktu ar jauniem apakšpunktiem par ventilācijas un dzeramā ūdens sistēmu nodrošināšanu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telpām vai telpu grupām nepieciešamās ventilācijas (mehāniskās vai dabīgās) sistēmas atjaunošana vai pārbūve;2) telpām vai telpu grupām nepieciešamā dzeramā ūdens apgādes sistēmas atjaunošana vai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plānotajās telpās ir iepriekš minētās sistēmas un nav nepieciešama to izbūve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plānotais kopējais attiecināmais finansējums ir ne mazāks kā 26 113 520 </w:t>
            </w:r>
            <w:r w:rsidR="00000000" w:rsidRPr="00000000" w:rsidDel="00000000">
              <w:rPr>
                <w:i w:val="1"/>
                <w:rtl w:val="0"/>
              </w:rPr>
              <w:t xml:space="preserve">euro</w:t>
            </w:r>
            <w:r w:rsidR="00000000" w:rsidRPr="00000000" w:rsidDel="00000000">
              <w:rPr>
                <w:rtl w:val="0"/>
              </w:rPr>
              <w:t xml:space="preserve">, tai skaitā Eiropas Reģionālās attīstības fonda finansējums 22 196 492 </w:t>
            </w:r>
            <w:r w:rsidR="00000000" w:rsidRPr="00000000" w:rsidDel="00000000">
              <w:rPr>
                <w:i w:val="1"/>
                <w:rtl w:val="0"/>
              </w:rPr>
              <w:t xml:space="preserve">euro </w:t>
            </w:r>
            <w:r w:rsidR="00000000" w:rsidRPr="00000000" w:rsidDel="00000000">
              <w:rPr>
                <w:rtl w:val="0"/>
              </w:rPr>
              <w:t xml:space="preserve">un nacionālais finansējums (valsts budžeta finansējums, pašvaldību finansējums) – ne mazāks kā 3 917 028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skaidru nacionālā finansējuma sadali, norādot konkrētu valsts budžeta finansējuma apmēru un pašvaldību budžeta finansējuma apmēru, ņemot vērā noteikumu projekta 20.punktā norādītos projekta iesniedzējus un anotācijas 3.sadaļas 6.punktā norādīto informāciju, vai arī pievienot norādi, ka nacionālā finansējuma sadalījums pa avotiem tiks noteikts Ministru kabineta rīkojumā par civilās aizsardzības mērķiem pielāgojamajiem un aprīkojamajiem objektiem (patvertnēm), kuru īstenošana paredzētā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vai valsts budžeta daļēji finansēta atvasināta publiska persona, kas projektu īsteno tai deleģēto valsts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19.punkta trešajā teikumā ietvert norādi, ka avansa un starpposma maksājumu kopsumma nepārsniedz 90 procentus no projektam piešķirtā Eiropas Reģionālās attīstības fonda finansējuma u</w:t>
            </w:r>
            <w:r w:rsidR="00000000" w:rsidRPr="00000000" w:rsidDel="00000000">
              <w:rPr>
                <w:u w:val="single"/>
                <w:rtl w:val="0"/>
              </w:rPr>
              <w:t xml:space="preserve">n valsts budžeta līdzfinansējuma kopsummas</w:t>
            </w:r>
            <w:r w:rsidR="00000000" w:rsidRPr="00000000" w:rsidDel="00000000">
              <w:rPr>
                <w:rtl w:val="0"/>
              </w:rPr>
              <w:t xml:space="preserve">, tādējādi nodrošinot atbilstību Ministru kabineta 2023.gada 25.aprīļa noteikumu Nr.205 “Valsts budžeta līdzekļu plānošanas kārtība Eiropas Savienības fondu projektu īstenošanai un maksājumu veikšanai 2021.–2027. gada plānošanas periodā” (turpmāk - MK noteikumi Nr.205) regulējumam, un to ka noteikumu projekts paredz valsts budžeta līdzekļu piesaisti.  Vienlaikus lūdzam noteikumu projekta anotācijā skaidrot, kāpēc tieši šāda avansa apmērs ir noteikts noteikumu projekta 19.punktā, jo MK noteikumi Nr.205 paredz 30% avansa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finansējums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ir valsts tiešās pārvaldes iestāde, pašvaldība vai tās izveidota iestāde, valsts vai pašvaldības kapitālsabiedrība, kas veic deleģēto pārvaldes uzdevumu izpildi, augstākās izglītības un zinātnes institūcija, kas īsteno studiju programmas un veic zinātnisko darbību, vai cita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norādītā publisko tiesību juridiskā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publiskie resursi tiek piešķirti patvertņu izbūvei vai ierīkošanai un nodrošināšanai ar nepieciešamo aprīkojumu, kas ir saimnieciskās darbības veicēju īpašumā/lietojumā, publisko līdzekļu piešķiršana (jebkādā formā) iepriekš minēto darbību veikšanai ir jāvērtē komercdarbības atbalsta kontroles kontekstā, jo publisko līdzekļu piešķiršana saimnieciskās darbības veikšanai ir jāanalizē atbilstoši Komercdarbības atbalsta kontroles likuma (KAKL) 5.pantā noteiktajām pazīmēm un, ja tiktu secināts, ka atbalsts kvalificējams kā komercdarbības atbalsts (jo vienlaikus izpildās visas pazīmes), to ieviešanā ir jāpiemēro komercdarbības atbalsta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tiek pieļauta pasākuma ietvaros atbalstīto telpu izmantošana objekta īpašnieka vajadzībām, ievērojot Civilās aizsardzības un katastrofas pārvaldīšanas likuma prasības, kas nosaka, ka patvertnes jāveido tā, lai tās būtu izmantojamas kā divējāda lietojuma nozīmes objekti (kuras ikdienas apstākļos var izmantot objekta īpašnieka vajadzībām, piemēram, pazemes autostāvvietas, saimnieciskās telpas u.c. telpas). Vienlaikus noteikumu 20.punkts nosaka projekta iesniedzēju, kas ir valsts tiešās pārvaldes iestāde, pašvaldība vai tās izveidota iestāde, valsts vai pašvaldības kapitālsabiedrība, kas veic deleģēto pārvaldes uzdevumu izpildi, augstākās izglītības un zinātnes institūcija, kas īsteno studiju programmas un veic zinātnisko darbību, vai cita šo noteikumu 5. punktā minētajā Ministru kabineta rīkojumā norādītā publisko tiesību juridiskā persona. Proti, ir secināms, ka daļa projektu iesniedzēju būs saimnieciskās darbības veicēji, un, ja atbalsts paredzēts divējāda lietojuma nozīmes objektiem, kas tiek izmantoti arī saimnieciskās darbības veikšanai, ir jāievēro augstākminētais (analīze par to, vai vienlaikus izpildās visas KAKL 5.panta pazīmes, un atbilstoša komercdarbības atbalsta regulējuma piemērošana). Attiecīgi lūdzam papildināt noteikumus ar atbilstošām komercdarbības atbalsta regulējuma normām un sniegt izvērtējumu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personāla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24.2.</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w:t>
            </w:r>
            <w:r w:rsidR="00000000" w:rsidRPr="00000000" w:rsidDel="00000000">
              <w:rPr>
                <w:rtl w:val="0"/>
              </w:rPr>
              <w:t xml:space="preserve">24.4.</w:t>
            </w:r>
            <w:r w:rsidR="00000000" w:rsidRPr="00000000" w:rsidDel="00000000">
              <w:rPr>
                <w:rtl w:val="0"/>
              </w:rPr>
              <w:t xml:space="preserve">, </w:t>
            </w:r>
            <w:r w:rsidR="00000000" w:rsidRPr="00000000" w:rsidDel="00000000">
              <w:rPr>
                <w:rtl w:val="0"/>
              </w:rPr>
              <w:t xml:space="preserve">24.5.</w:t>
            </w:r>
            <w:r w:rsidR="00000000" w:rsidRPr="00000000" w:rsidDel="00000000">
              <w:rPr>
                <w:rtl w:val="0"/>
              </w:rPr>
              <w:t xml:space="preserve">, un </w:t>
            </w:r>
            <w:r w:rsidR="00000000" w:rsidRPr="00000000" w:rsidDel="00000000">
              <w:rPr>
                <w:rtl w:val="0"/>
              </w:rPr>
              <w:t xml:space="preserve">24.6. </w:t>
            </w:r>
            <w:r w:rsidR="00000000" w:rsidRPr="00000000" w:rsidDel="00000000">
              <w:rPr>
                <w:rtl w:val="0"/>
              </w:rPr>
              <w:t xml:space="preserve">apakšpunktā</w:t>
            </w:r>
            <w:r w:rsidR="00000000" w:rsidRPr="00000000" w:rsidDel="00000000">
              <w:rPr>
                <w:rtl w:val="0"/>
              </w:rPr>
              <w:t xml:space="preserve"> minētajām pārējām projekta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sadaļā 1.3. "Pašreizējā situācija, problēmas un risinājumi” apakšsadaļā “Risinājuma apraksts” ietverto informāciju par vienoto personāla izmaksu likmi atbilstoši ES fondu Vadošās iestādes sniegtajiem komentāriem vienotās personāla izmaksu likmes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24.2.1. būvprojekta, būvdarbu ieceres dokumentācijas, būvprojekta minimālā sastāva, paskaidrojuma raksta izstrāde visām projektā paredzētajām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un iekļautu visus ieceres dokumentu veidus, tostarp paziņojumu par būvniecību, un neizdalot atsevišķi katru, aicinām precizēt punktu šādā redakcijā: </w:t>
            </w:r>
            <w:r w:rsidR="00000000" w:rsidRPr="00000000" w:rsidDel="00000000">
              <w:rPr>
                <w:i w:val="1"/>
                <w:rtl w:val="0"/>
              </w:rPr>
              <w:t xml:space="preserve">būvniecības ieceres dokumentācijas izstrāde visām projektā paredzētajām būvniecības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patvertnes paredzēts izvietot esošu ēku telpās, veicot to pārbūvi un atjaunošanu, aicinām izvērtēt nepieciešamību iekļaut tiešajās attiecināmajās izmaksās arī tehniskās apsekošanas un/ vai izpētes izmaksas, kā arī ekspertīzes izmaksas, ja to veikšana ir priekšnosacījums būvniecības ieceres dokumentācijas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24.2.2. autoruzraudzības un būvuzraudzības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autoruzraudzības un būvuzraudzības izmaksas izdalīt kā atsevišķu apakšpunktu, jo tās nav projekta iesnieguma pamatojošās dokumentācijas sagatavošanas izmaksas. Vienlaikus vēršam uzmanību, vadošās iestādes vadlīnijās Nr 1.2 “Vadlīnijas attiecināmo izmaksu noteikšanai Eiropas Savienības kohēzijas politikas programmas 2021.-2027.gada plānošanas periodā” ierosinātie grozījumi, kas paredz tai skaitā autoruzraudzības un būvuzraudzības izmaksu ierobežojumu svītrošanu, pašlaik ir saskaņošanas procesā un gala versija vēl nav apstiprināta, līdz ar to aicinām ņemt vērā, ka tajā vēl iespējamas izmaiņas, t.sk. tādas, kas ietekmētu arī šo MK noteikumu projektu un tajā ietvertos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27.punktu papildināt ar precīzu atsauci uz Eiropas Savienības tiesību aktu, viennozīmīgai tiesību normas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nodokļa maksājumi, kas tiešā veidā saistīti ar projektu, uzskatāmi par attiecināmajām izmaksām saskaņā ar regulas Nr. 2021/1060 64. panta 1. punkta "c" apakšpunktu, ja pievienotās vērtības nodoklis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kas saskaņā ar šiem noteikumiem nav iekļaujamas kā attiecināmās izmaksas, ir finansējamas ārpus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projekta 29.punktā minētās izmaksas, kas finansējamas ārpus projekta, netiek norādītās projekta iesniegumā, izpildot Ministru kabineta 2022.gada 25.janvāra sēde protokola Nr.4 24. § Likumprojekts “Eiropas Savienības fondu 2021.-2027. gada plānošanas perioda vadības likums” 4.punktā “Noteikt, ka 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nav papildināms rezultātu/ rādītāju ilgtspējas vai uzturēšanas nodrošināšanas nosacījumus (ja attiecināms), anotācijā ietverot atbilstošu skaidrojumu, tostarp par plānoto finansējumu ilgtspējas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Ieguldījumus infrastruktūrā finansējuma saņēmējs var veikt publiskas personas īpašumā vai valdījumā, vai turējumā esošā īpašumā, ja valdījuma vai turējuma tiesības ir iegūtas uz termiņu, kas nav īsāks par pieciem gadiem no dienas, kad veikts projekta noslēguma maksājums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noteikumi par specifisko atbalsta mērķi attiecināmi uz infrastruktūru, tad  minētajos noteikumos iekļauj nosacījumu par finansējuma saņēmēja tiesībām uz konkrēto objektu vai īpašumu, kurā plānots veikt ieguldījumus (īpašumā, ilgtermiņa nomā vai nodibinātas apbūves tiesības, bezatlīdzības lietošanā, valdījumā, turējumā u.c.) un  tiesībām uz konkrēto objektu vai īpašumu jābūt nostiprinātām Zemesgrāmatā, ja vien nav izņēmumi, kas jāpamato noteikumu projekta anotācijā. Lūdzam minēto aprakstīt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pārliecināties par investīciju atbilstību un regulējumā ietvertajiem nosacījumiem attiecībā uz horizontālā principa “Nenodarīt būtisku kaitējumu” ievērošanu, lūdzam VARAM izstrādāt un iesūtīt FM horizontālā principa “Nenodarīt būtisku kaitējumu” novērtējumu 5.1.1.9. pasākumam “Objektu (patvertņu) pielāgošana un aprīkošana civilās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kritērijiem par projekta iesniedzēju priekšatlasi, nodrošinot godīgu un caurskatāmu protenciālo projekta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6.punktā norādīto ERAF un valsts budžeta finansējuma sadalījumu pa gadiem, jo šobrīd to kopsummas attiecīgi par 1 euro un 2 euro pārsniedz kopējā attiecināmā finansējuma summas (veicot precizējumus, lūdzam informāciju salāgot ar 1.1. un 2.1.punktā norādīto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punktā “Cita informācija” sniegto informāciju, norādot, ka finansējums projektu īstenošanai attiecībā uz ERAF un valsts budžeta finansējumu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kā arī norādīt, kuriem projekta iesniedzējiem paredzēts kā nacionālo finansējumu apstiprināt valsts budžeta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noteikumu tālākas virzības lūdzam VARAM izvērtēt nepieciešamību MK protokollēmumā iekļaut punktu, kas nosaka, ka ES kohēzijas politikas programmas 2021. -2027.gadam (turpmāk - programma) 5.1.1.9.pasākums var tikt uzsākts, t.sk. izmantojot plānoto elastības finansējumu, pirms EK lēmuma saņemšanas par programmas grozījumiem, ņemot vērā, ka programmas grozījumus, ar kuriem šādu lēmumu plānots virzīt, plānots iesniegt vēlāk par sākotnēji paredzēto 2025.gada 31.martu.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Viedās administrācijas un reģionālās attīstības ministrijai kā Eiropas Savienības (turpmāk - ES) fondu atbildīgajai iestādei, pirms Eiropas Komisijas lēmuma par ES kohēzijas politikas programmas 2021.-2027.gadam (turpmāk - Programma) vidusposma pārskatu, uzsākt, t.sk. izmantojot plānoto elastības finansējumu,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(turpmāk - 5.1.1.9.pasākums)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Centrālajai finanšu un līgumu aģentūrai kā ES fondu sadarbības iestādei veikt 5.1.1.9.pasākuma projektu iesniegumu atlases ietvaros iesniegto projektu iesniegumu vērtēšanu un, pēc projektu iesniegumu apstiprināšanas, slēgt ar finansējuma saņēmējiem vienošanās vai līgumu par projektu īstenošanu atbilstoši Programmā noteiktajam finansējuma sadalījumam, tai skaitā elastības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netiek saņemts pozitīvs Eiropas Komisijas lēmums par grozījumiem Programmā, kas skar ar šo pasākumu saistītas finansējuma pārdales, Viedās administrācijas un reģionālās attīstības ministrija sagatavot un iesniegt izskatīšanai Ministru kabinetā informatīvo ziņojumu par priekšlikumiem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26.03.2025.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26.03.2025.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