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jūlija noteikumos Nr. 423 "Eiropas Savienības kohēzijas politikas programmas 2021.–2027. gadam 3.2.1. specifiskā atbalsta mērķa "Attīstīt un izvērst ilgtspējīgu, klimatnoturīgu, intelektisku un intermodālu mobilitāti valsts, reģionālā un vietējā līmenī, tostarp uzlabotu piekļuvi TEN-T un pārrobežu mobilitāti"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Specifiskā atbalsta ietvaros līdz 2030. gada 31. decembrim ir sasniedzami šādi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detalizētu pamatojumu, kāpēc ir nepieciešams 3.2.1.2.pasākuma "</w:t>
            </w:r>
            <w:r w:rsidR="00000000" w:rsidRPr="00000000" w:rsidDel="00000000">
              <w:rPr>
                <w:i w:val="1"/>
                <w:rtl w:val="0"/>
              </w:rPr>
              <w:t xml:space="preserve">Uzlabot efektīvus savienojumus Daugavpils pilsētā un Latgales reģionā, pārbūvējot Vienības tiltu Daugavpilī</w:t>
            </w:r>
            <w:r w:rsidR="00000000" w:rsidRPr="00000000" w:rsidDel="00000000">
              <w:rPr>
                <w:rtl w:val="0"/>
              </w:rPr>
              <w:t xml:space="preserve">" projekta īstenošanas termiņa pagarinājums līdz 2030. gada 31. decembrim, norādot konkrētus iemeslus un apstākļus, kuru dēļ projekta izpilde nav nodrošināma sākotnēji noteiktajā termiņā. Vienlaikus lūdzam skaidrot vai un kā konkrētais termiņa pagarinājums ietekmēs sākotnēji plānotās budžeta prognozes, vai ir veikts šādas ietekmes izvērtējums.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ietvert skaidrojumu par izstrādāto grozījumu ietekmi uz finansējuma saņēmēju, ka arī to, vai noslēgtajā vienošanās par projekta īstenošanu būs nepieciešams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22.9.</w:t>
            </w:r>
            <w:r w:rsidR="00000000" w:rsidRPr="00000000" w:rsidDel="00000000">
              <w:rPr>
                <w:rtl w:val="0"/>
              </w:rPr>
              <w:t xml:space="preserve"> apakšpunktā</w:t>
            </w:r>
            <w:r w:rsidR="00000000" w:rsidRPr="00000000" w:rsidDel="00000000">
              <w:rPr>
                <w:rtl w:val="0"/>
              </w:rPr>
              <w:t xml:space="preserve"> minētās izmaksas nepārsniedz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MK noteikumu 24.punktu saskaņā ar Vadlīniju attiecināmo izdevumu noteikšanai Eiropas Savienības Kohēzijas politikas programmas 2021.-2027.gada plānošanas periodā 41.punktu.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22.9. apakšpunktā minētās izmaksas nepārsniedz 10 procentus no projekta kopējām plānotajām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30.13. nodrošina interešu konflikta neesību saskaņā ar </w:t>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r w:rsidR="00000000" w:rsidRPr="00000000" w:rsidDel="00000000">
              <w:rPr>
                <w:rtl w:val="0"/>
              </w:rPr>
              <w:t xml:space="preserve">, 61. pantu un normatīvajiem aktiem publisko iepirkumu jomā,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noteikumu 30.13. apakšpunktā iekļaut atsauci uz Eiropas Parlamenta un Padomes 2024. gada 23. septembra Regulas (ES, Euratom) 2024/2509 par finanšu noteikumiem, ko piemēro Savienības vispārējam budžetam (pārstrādātā redakcija)( turpmāk - Finanšu regula) 61.pantu, ņemot vērā konkrētā specifiskā atbalsta mērķa projekta veidu, kā arī to, ka Finanšu regulas 61.panta prasības ir tieši attiecināmas uz tādiem projektiem, kas saistīti ar Eiropas Savienības (ES) fondu atbalsta saņemšanu un vienlaikus kuros atbilstoši specifiskā atbalsta mērķim finansējuma saņēmējs atlases kārtībā ES fondu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interešu konflikta neesību saskaņā ar normatīvajiem aktiem publisko iepirkumu jomā,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09.02.2026.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09.02.2026.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Atzinumi_25-TA-2602.docx</dc:title>
</cp:coreProperties>
</file>

<file path=docProps/custom.xml><?xml version="1.0" encoding="utf-8"?>
<Properties xmlns="http://schemas.openxmlformats.org/officeDocument/2006/custom-properties" xmlns:vt="http://schemas.openxmlformats.org/officeDocument/2006/docPropsVTypes"/>
</file>