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nosaka, aprēķina un pārvadātājam no valsts budžeta kompensē šā panta pirmajā daļā minētos izdevumus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2</w:t>
            </w:r>
            <w:r w:rsidR="00000000" w:rsidRPr="00000000" w:rsidDel="00000000">
              <w:rPr>
                <w:rtl w:val="0"/>
              </w:rPr>
              <w:t xml:space="preserve"> daļas pirmo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likumprojekta 6. pantā ietverto grozījumu, proti, tiek paredzēts izteikt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w:t>
            </w:r>
            <w:r w:rsidR="00000000" w:rsidRPr="00000000" w:rsidDel="00000000">
              <w:rPr>
                <w:u w:val="single"/>
                <w:rtl w:val="0"/>
              </w:rPr>
              <w:t xml:space="preserve">pirmo teikumu</w:t>
            </w:r>
            <w:r w:rsidR="00000000" w:rsidRPr="00000000" w:rsidDel="00000000">
              <w:rPr>
                <w:rtl w:val="0"/>
              </w:rPr>
              <w:t xml:space="preserve"> jaunā redakcijā, taču tālāk norādīta visa daļa. Attiecīgi aicinām tehniski precizēt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likumprojektu, samainot vietām likumprojekta 7. un 8.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konkurences tiesību pārkāpumā par vainīgu var atzīt ne vien ar kompetentas institūcijas lēmumu, bet arī ar spriedumu, tādēļ lūdzam izvērtēt un nepieciešamības gadījumā atbilstoši papildināt likumprojekta 7. pantā izteikto likuma 17. panta trešās daļas 1. punktu vai skaidrot likumprojekta anotācijā,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Personām, kuras ir minētas šā panta otrās1 daļas 1. un 2. punktā, piekļuve vienotajai sabiedriskā transporta biļešu sistēmai tiek piešķirta automātiski. Personām, kuras ir minētas šā panta trešās daļas 1. un 2. punktā, ir tiesības saņemt piekļuvi vienotai sabiedriskā transporta biļešu sistēmai kā biļešu tirdzniecības pakalpojuma sniedzējam, izpildot šā panta sestās daļas nosacījumus un pilnībā nodalot saimnieciskās darbības izmaksas un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tehniski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ir minētas šā panta otrās daļas 1. un 2. punktā, piekļuve vienotajai sabiedriskā transporta biļešu sistēmai tiek piešķirta automātiski. Personām, kuras ir minētas šā panta trešās daļas 1. un 2. punktā, ir tiesības saņemt piekļuvi vienotai sabiedriskā transporta biļešu sistēmai kā biļešu tirdzniecības pakalpojuma sniedzējam, izpildot šā panta sestās daļas nosacījumus un pilnībā nodalot saimnieciskās darbības izmaksas un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tas ir noslēdzis šā panta devītajā daļā minēto līgumu un nodrošina biļešu tirdzniecību visiem autobusu un vilcienu reisiem, tostarp vienoto biļešu (biļetes, kas apliecina tiesības izmantot sabiedrisko transportlīdzekli vairākos pārvadājumu veidos)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9. pantā izteiktajā likuma 19. panta piektās daļas 4. punkta un sestās daļas 3. punktā izslēgt vārdus un pieturzīmi "(biļetes, kas apliecina tiesības izmantot sabiedrisko transportlīdzekli vairākos pārvadājumu veidos)", nedublējot likumprojekta 1. pantā ietvertā termina "vienotās biļetes" būtiskās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32.punktā vārdus un skaitļus “stājas spēkā 2022. gada 1. janvārī” ar vārdiem “sešus mēnešus pēc šā likuma grozījumu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11. pantā atbilstoši juridiskās tehnikas prasībām paredzēt konkrētu datumu, kādā stājas spēkā attiecīgais regulējums, neparedzot atskaites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37.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likumprojekta 7. pantā (17. panta trešajā daļā), aicinām precizēt anotācijā ietvertos skaidrojumus un nodrošināt to atbilstību aktuālajai likumprojekta redakcijai, kā arī precizēt likumprojekta 13. pantu, jo likumprojekta 7. pantā vairs nav norādes uz naudas soda samazināšanu. Papildus aicinām precizēt likumprojekta 13. pantu, ņemot vērā, ka netiek izdarīti grozījumi likuma 17. panta trešajā daļā, bet gan likuma 17. pantam tiek pievienota jauna daļa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vai nu izslēgt projektā ietverto likuma spēkā stāšanās norādi (proti, ka likums stājas spēkā nākamajā dienā pēc tā izsludināšanas), salāgojot to ar anotācijas 1.2. sadaļā norādīto spēkā stāšanās termiņu (proti, vispārējā kārtībā), vai arī precizēt anotācijas 1.2. sadaļā norādīto likuma spēkā stāšanās termiņu un to attiecīgi pamatot.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vairs netiek norādīts uz "saprātīgu izdevumu kompensēšanu", atkārtoti lūdzam precizēt likumprojekta anotācijā ietverto informāciju par likumprojekta 4. pantā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līguma, kas uzskatāms par iepirkuma līgumu Publisko iepirkumu likuma izpratnē, izbeigšanas kārtība būtu nosakāma Sabiedriskā transporta pakalpojumu likumā (17. pants), nevis Publisko iepirkumu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secināms, ka Sabiedriskā transporta pakalpojumu likuma 17. pantā minētais līgums ir uzskatāms par iepirkuma līgumu Publisko iepirkumu likuma izpratnē. Tam ir nozīme, jo no tā atkarīgi piemērojamie normatīvie akti, kuri regulē no līguma izrietošās attiecības, t.sk. līguma izbeigšanas kārtību. Līdz ar to, Tieslietu ministrijas ieskatā, primāri iepirkumu līgumu izbeigšanas kārtība, t.sk. tiesības vienpusēji atkāpties no šāda līguma būtu jānosaka tieši Publisko iepirkumu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