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Atbalsta pasākumi nozaru vajadzībās balstītai pieaugušo izglītībai un to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pirmās kārtas ietvaros atbalsts finansējuma saņēmējam tiek sniegts granta veidā, atbilstoši </w:t>
            </w:r>
            <w:r w:rsidR="00000000" w:rsidRPr="00000000" w:rsidDel="00000000">
              <w:rPr>
                <w:i w:val="1"/>
                <w:rtl w:val="0"/>
              </w:rPr>
              <w:t xml:space="preserve">de minimis</w:t>
            </w:r>
            <w:r w:rsidR="00000000" w:rsidRPr="00000000" w:rsidDel="00000000">
              <w:rPr>
                <w:rtl w:val="0"/>
              </w:rPr>
              <w:t xml:space="preserve"> atbalsta nosacījumiem saskaņā ar Komisijas 2033. gada 13. decembra Regulas (ES) Nr.  2023/2831 par Līguma par Eiropas Savienības darbību 107. un 108. panta piemērošanu </w:t>
            </w:r>
            <w:r w:rsidR="00000000" w:rsidRPr="00000000" w:rsidDel="00000000">
              <w:rPr>
                <w:i w:val="1"/>
                <w:rtl w:val="0"/>
              </w:rPr>
              <w:t xml:space="preserve">de minimis atbalstam</w:t>
            </w:r>
            <w:r w:rsidR="00000000" w:rsidRPr="00000000" w:rsidDel="00000000">
              <w:rPr>
                <w:rtl w:val="0"/>
              </w:rPr>
              <w:t xml:space="preserve"> (turpmāk – Komisijas regula Nr. 2023/2831)  un darba devējam – nefinanšu atbalsta veidā atbilstoši Komisijas Regulai 651/2014 31.pantam vai Komisijas Regulai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projekta 18.punktā norādītais, ka atbalsts darba devējiem var tikt piešķirts saskaņā ar Komisijas regulu Nr. 2023/2831, ir pretrunā ar anotācijas 1.3.sadaļā iekļauto skaidrojumu, ka ar mācību procesu saistītās izmaksas tiek segtas saskaņā ar Komisijas regulu Nr. 651/2014. Turklāt arī visas attiecināmās izmaksas, kas attiecas uz atbalstu darba devējiem, noteikumu projektā paredzēts sniegt saskaņā ar Komisijas regulu Nr. 651/2014. Ievērojot minēto, lūdzam 18.punktā un citur noteikumu projektā dzēst norādi, ka atbalsts darba devējiem var tikt piešķirts saskaņā ar Komisijas regulu Nr. 2023/2831.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pirmās kārtas ietvaros atbalsts finansējuma saņēmējam tiek sniegts granta veidā, atbilstoši </w:t>
            </w:r>
            <w:r w:rsidR="00000000" w:rsidRPr="00000000" w:rsidDel="00000000">
              <w:rPr>
                <w:i w:val="1"/>
                <w:rtl w:val="0"/>
              </w:rPr>
              <w:t xml:space="preserve">de minimis</w:t>
            </w:r>
            <w:r w:rsidR="00000000" w:rsidRPr="00000000" w:rsidDel="00000000">
              <w:rPr>
                <w:rtl w:val="0"/>
              </w:rPr>
              <w:t xml:space="preserve"> atbalsta nosacījumiem saskaņā ar Komisijas 2033. gada 13. decembra Regulas (ES) Nr.  2023/2831 par Līguma par Eiropas Savienības darbību 107. un 108. panta piemērošanu </w:t>
            </w:r>
            <w:r w:rsidR="00000000" w:rsidRPr="00000000" w:rsidDel="00000000">
              <w:rPr>
                <w:i w:val="1"/>
                <w:rtl w:val="0"/>
              </w:rPr>
              <w:t xml:space="preserve">de minimis atbalstam</w:t>
            </w:r>
            <w:r w:rsidR="00000000" w:rsidRPr="00000000" w:rsidDel="00000000">
              <w:rPr>
                <w:rtl w:val="0"/>
              </w:rPr>
              <w:t xml:space="preserve"> (turpmāk – Komisijas regula Nr. 2023/2831)  un darba devējam – nefinanšu atbalsta veidā atbilstoši Komisijas Regulai 651/2014 31.pantam vai Komisijas Regulai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regula Nr.651/2014 vai Komisijas regula Nr.2023/2831 var tikt piemērota vienīgi tādam atbalstam, kuram ir iespējams iepriekš precīzi aprēķināt dotācijas bruto ekvivalentu, skat., Komisijas regulas Nr.2023/2831 4.panta 1.punktu un Komisijas regulas Nr.651/2014 5.pantu. Lai nodrošinātu korektu komercdarbības atbalsta kontroles nosacījumu ievērošanu, lūdzam nodrošināt, ka arī darba devējiem tiek piemēroti tādi atbalsta veidi, kas atbilst konkrētam komercdarbības atbalsta kontroles regulējumam, proti, lūdzam noteikumu projektā ietvert termina "nefinanšu atbalsta veids" skaidrojumu. Vairāk par šo lūdzam skatīt arī iepriekš izteiktajā Finanšu ministrijas iebildumā, kas ietverts izziņas 37.punktā.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tai ir pietiekama administrēšanas, īstenošanas un finanšu kapacitāte projekta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20.4. apakšpunktu, jo punkts šobrīd ir bez satura - pietiekama kapacitāte ir relatīvi vērtējama, tādēļ saglabājama kritēriju, nevis noteikumu līmenī.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20.7. projekta iesniegumā plānotie sasniedzamie rādītāji atbilst šo noteikumu </w:t>
            </w:r>
            <w:r w:rsidR="00000000" w:rsidRPr="00000000" w:rsidDel="00000000">
              <w:rPr>
                <w:rtl w:val="0"/>
              </w:rPr>
              <w:t xml:space="preserve">17. </w:t>
            </w:r>
            <w:r w:rsidR="00000000" w:rsidRPr="00000000" w:rsidDel="00000000">
              <w:rPr>
                <w:rtl w:val="0"/>
              </w:rPr>
              <w:t xml:space="preserve">punkt</w:t>
            </w:r>
            <w:r w:rsidR="00000000" w:rsidRPr="00000000" w:rsidDel="00000000">
              <w:rPr>
                <w:rtl w:val="0"/>
              </w:rPr>
              <w:t xml:space="preserve">ā noteiktajam un katra finansējuma saņēmēja sasniedzamais rādītājs noteikts proporcionāli projekta iesniegumā norādītajam finansējumam;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dzēst noteikumu projekta 20.7. apakšpunktu - tas ir projektu iesniegumu vērtēšanas kritēriju tvērums, turklāt vēršam uzmanību, ka noteikumu projekts šobrīd neparedz proporcionalitātes aprēķina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tas uz atbalsta piešķiršanas brīdi atbilst grūtībās nonākuša komersanta statusam saskaņā ar Komisijas regulas Nr. 651/2014 2. panta 18. punkta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apvienot noteikumu projekta 21.3. un 21.4. apakšpunktu, izsakot to šādā redakcijā: “tas uz atbalsta piešķiršanas brīdi atbilst grūtībās nonākuša komersanta statusam saskaņā ar Komisijas regulas Nr. 651/2014 2. panta 18. punkta definīciju. Projekta iesniedzēja atbilstība Komisijas regulas Nr.651/2014 2.panta 18.punkta c) apakšpunktam tiek pārbaudīta ar apliecinājuma palīdzību.” Vienlaikus lūdzam anotācijā skaidrot, kāpēc projekta iesniedzējam tiek noteiktas stingrākas prasības, nekā to paredz Komisijas regula 2023/2831.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Projektu iesniegumu vērtēšanai sadarbības iestāde izveido projektu iesniegumu vērtēšanas komisiju, kuras sastāvā ir sadarbības iestādes pārstāvji un vismaz viens pārstāvis no Ekonomikas ministrijas.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vērtēšanas komisijas sastāvu jau noteic Eiropas Savienības fondu 2021.–2027. gada plānošanas perioda vadības likuma 21. pants. Ja vien vērtēšanas komisijai šī pasākuma ietvaros nav paredzēts noteikt īpašas, minēto likuma punktu papildinošas prasības, lūdzam dzēst noteikumu projekta 23.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 attiecībā uz finansējuma saņēmēju: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18.punktā norādīto, ka finansējuma saņēmējam atbalsts tiek piešķirts granta veidā saskaņā ar Komisijas regulu Nr.2023/2831, lūdzam precizēt noteikumu projekta 29.1.punktu, norādot, ka atbalsts šajā punktā visām, izņemot 29.1.2.4.apakšpunktā, minētajām izmaksām tiks sniegts saskaņā ar Komisijas regulu Nr.2023/2831, nevis tikai uz 29.1.2.apakšpunktu, kā tas ir šobrīd.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29.1.2.4. komunikācijas un vizuālās identitātes pasākumus saskaņā ar regulas 2021/1060 47. un 50. pantu,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18.aprīlī Eiropas Komisijas eWiki sistēmā sniegts skaidrojums uz Horvātijas jautājumu (lūdzam skatīt saiti: https://webgate.ec.europa.eu/fpfis/wikis/display/StateAid/Art+56.a+-+eligible+costs+-+interpretation), kurā Eiropas Komisija norādījusi, ka izmaksas, kas saistītas ar vizuālās identitātes nodrošināšanu, lai informētu par Eiropas Savienības finansējuma izcelsmi, nav uzskatāmas kā tādas, pār kurām dalībvalstīm būtu rīcības brīvība, attiecīgi tās komercdarbības atbalsta nosacījumiem pakļautas nav. Ievērojot minēto, lūdzam precizēt noteikumu projekta 29.1.2.4.punktu.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2.29. attiecībā uz darba devēju (maksa par materiāliem un pakalpojumiem, kas tieši saistīti ar mācībām, atbilstoši Komisijas regulas Nr. 651/2014 31. panta 3. punkta “b”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29.2.apakšpunkta apakšpunktos ir korekti norādītas atsauces uz Komisijas regulas Nr.651/2014 31.panta 3.punkta apakšpunktiem, bet visi nav sasaistāmi ar Komisijas regulas Nr.651/2014 31.panta 3.punkta "b" apakšpunktu, lūdzam pašā 29.2.punkta ievaddaļā dzēst atsauci uz Komisijas regulas Nr.651/2014 31.panta 3.punkta "b"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ietvaros nav attiecināmas izmaksas šādiem mācību veidiem un programmām atbilstoši Komisijas regulai Nr. 651/2024: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atsauci uz Komisijas regulu Nr.651/2014 noteikumu projekta 32.punkta ievada daļā dzēst, jo no Komisijas regulas Nr.651/2014 izrietošie ierobežojumi attiecas tikai uz 32.2.apakšpunktu. Pārējie šajā punktā minētie ierobežojumi uz to neattiecas, līdz ar to lūdzam nejaukt kopā ierobežojumus, kas izriet no Komisijas regulas Nr.651/2014, ar citiem no tās neizrietošiem ierobežojumiem.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saņēmējam izmaksas attiecināmas no brīža, kad finansējuma saņēmējs iesniedzis projekta iesniegumu Vadības informācijas sistēmā. Darba devējam izmaksas attiecināmas no brīža, kad darba devējs  iesniedzis pieteikumu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ietvaros ir paredzēts sniegt komercdarbības atbalstu darba devējiem saskaņā ar Komisijas regulu Nr.651/2014, lūdzam ņemt vērā, ka, lai nodrošinātu stimulējošās ietekmes nosacījuma izpildi, kas noteikts Komisijas regulas Nr.651/2014 6.panta 2.punktā, </w:t>
            </w:r>
            <w:r w:rsidR="00000000" w:rsidRPr="00000000" w:rsidDel="00000000">
              <w:rPr>
                <w:u w:val="single"/>
                <w:rtl w:val="0"/>
              </w:rPr>
              <w:t xml:space="preserve">darbības pie projekta </w:t>
            </w:r>
            <w:r w:rsidR="00000000" w:rsidRPr="00000000" w:rsidDel="00000000">
              <w:rPr>
                <w:rtl w:val="0"/>
              </w:rPr>
              <w:t xml:space="preserve">darba devējs nevar būt uzsācis ātrāk, kā ir iesniegts atbalsta pieteikums finansējuma saņēmējam. Atbilstoši izteiktajam iebildumam lūdzam precizēt noteikumu projekta 37.punktu.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Ja finansējuma saņēmējs ir uzsācis atbalstāmās darbības pirms līguma par projekta īstenošanu noslēgšanas ar sadarbības iestādi, tas uzņemas visus riskus par saistībām, ko tas ir uzņēmies, un izdevumu neattiecināmības risku, ja atbalsts tiek piešķirts ar Komisijas regulu Nr. 2023/2831. Ja atbalsts tiek piešķirts saskaņā ar Komisijas regulas Nr.651/2014 6.panta 2.punktu un darba devējs ir uzsācis darbības pirms pieteikuma iesniegšanas, tad darba devēja pieteikums ir noraidāms.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nepamatotas interpretācijas riskus, lūdzam noteikumu projekta 38.punktu izdalīt divos atsevišķos punktos, proti, vienā punktā noteikt nosacījumus, kas attiecināmi uz finansējuma saņēmēju, kuram piešķir atbalstu saskaņā ar Komisijas regulu Nr.2023/2831. Un otrā korekti ietvert nosacījumus, kas attiecināmi uz darba devējiem, kuriem komercdarbības atbalsts tiek piešķirts saskaņā ar Komisijas regulu Nr.651/2014, proti, norādot, ka darba devējs iesniedz finansējuma saņēmējam atbalsta pieteikumu, kurš atbilst Komisijas regulas Nr.651/2014 6.panta 2.punktā noteiktajam, pirms sākas darbs pie projekta vai pirms sākas darbība. Ja darba devējs darbus pie projekta uzsācis pirms tā iesniegšanas finansējuma saņēmējam, viss projekts ir noraidāms.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41.26. pārliecināties, ka uz darba devēju nav attiecināma Komisijas regulas Nr. 651/2014 2. panta 18. punkta "c" apakšpunktā minētā situācija – tam nav piemērota kolektīva maksātnespējas procedūra, un tas neatbilst normatīvajos aktos noteiktajiem kritērijiem, lai tam pēc kreditoru pieprasījuma piemērotu kolektīvu maksātnespējas procedūru, ja atbalsts tiek piešķirts Komisijas regulas 651/2014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atbalstu saskaņā ar Komisijas regulu Nr.651/2014, atbalsta sniedzējam uz atbalsta lēmuma pieņemšanas brīdi ir jāpārliecinās, ka atbalsta saņēmējs nav grūtībās nonācis uzņēmums atbilstoši tam kā tas definēts Komisijas regulas Nr. 651/2014 2. panta 18. punktā. Ievērojot izteikto iebildumu, lūdzam precizēt noteikumu projekta  41.26.apakšpunktu, vienlaikus saglabājot nosacījumu, ka par Komisijas regulas Nr. 651/2014 2. panta 18. punkta "c" apakšpunktā minēto atbalsta sniedzējs pārliecinās ar atbalsta saņēmēja iesniegta apliecinājuma palīdzību.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atbalsta piešķiršanu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uztur iepriekš izteikto iebildumu, kas ietverts izziņas 73.punktā un atkārtoti vērš noteikumu projekta izstrādātāja uzmanību uz to, ka šobrīd noteikumu projektā nav nodrošināts skaidrs sadalījums, kuri noteikumu projektā ietvertie piemērojamā komercdarbības atbalsta kontroles regulējuma nosacījumi attiecas uz finansējuma saņēmēju un kuri uz gala labuma guvējiem (darba devējiem), kā arī, vadoties no kādiem nosacījumiem finansējuma saņēmējs gala labuma guvējiem piemēros Komisijas regulas Nr.2023/2831 vai Komisijas regulas Nr.651/2014 nosacījumus. Attiecīgi lūdzam pārskatīt un precizēt noteikumu projektu kopumā, lai nodrošinātu tā pārskatāmību. Vēršam uzmanību, ka Ekonomikas ministrija jau ir izstrādājusi noteikumus, kuru ietvaros atbalsts tiek sniegts gan saskaņā ar Komisijas regulu Nr.2023/2831, gan Komisijas regulu Nr.651/2014, nodrošinot skaidru nosacījumu sadali, skat. Ministru kabineta 2023. gada 7. novembra noteikumi Nr. 644 "Eiropas Savienības kohēzijas politikas programmas 2021.–2027. gadam 1.2.1. specifiskā atbalsta mērķa "Pētniecības un inovāciju kapacitātes stiprināšana un progresīvu tehnoloģiju ieviešana uzņēmumiem" 1.2.1.4. pasākuma "Atbalsts tehnoloģiju pārneses sistēmas pilnveidošanai" īstenošanas noteikumi".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Ar atbalsta piešķiršanu saistītie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ietvaros paredzēta atbalsta piešķiršana finansējuma saņēmējam saskaņā ar Komisijas regulu Nr.2023/2831, kura paredz arī atbalsta kumulācijas iespēju, lūdzam noteikumu projektā nepārprotami norādīt, vai finansējuma saņēmējam būs atļauta arī atbalsta kumulācija un, ja būs atļauta, lūdzam paredzēt noteikumu projektā Komisijas regulai Nr.2023/2831 atbilstošus nosacījumus.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Atbalsts darba devējam un finansējuma saņēmējam  nepiešķir, ja tas atbilst kādai no Komisijas regulas Nr. 651/2014 1. panta 2. punkta "c" un "d" apakšpunktā vai 3. punkta "c", "d" vai "e" apakšpunktā minētajām nozarēm, ja iestājas kāds no Komisijas regulas Nr. 651/2014 1. panta 5. punktā minētajiem nosacījumiem vai ja uz komersantu attiecas neizpildīts līdzekļu atgūšanas rīkojums saskaņā ar iepriekšēju Eiropas Komisijas lēmumu atbilstoši Komisijas regulas Nr. 651/2014 1. panta 4. punkta "a"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18.punktā norādīto, atbalstu finansējuma saņēmējam sniedz saskaņā ar Komisijas regulu Nr.2023/2831, attiecīgi nav skaidrs, kādēļ uz finansējuma saņēmēju tiek attiecināti Komisijas regulas Nr.651/2014 nosacījumi.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Finansējuma saņēmējs nepiešķir darba devējam </w:t>
            </w:r>
            <w:r w:rsidR="00000000" w:rsidRPr="00000000" w:rsidDel="00000000">
              <w:rPr>
                <w:i w:val="1"/>
                <w:rtl w:val="0"/>
              </w:rPr>
              <w:t xml:space="preserve">de minimis</w:t>
            </w:r>
            <w:r w:rsidR="00000000" w:rsidRPr="00000000" w:rsidDel="00000000">
              <w:rPr>
                <w:rtl w:val="0"/>
              </w:rPr>
              <w:t xml:space="preserve"> atbalstu, ja </w:t>
            </w:r>
            <w:r w:rsidR="00000000" w:rsidRPr="00000000" w:rsidDel="00000000">
              <w:rPr>
                <w:i w:val="1"/>
                <w:rtl w:val="0"/>
              </w:rPr>
              <w:t xml:space="preserve">de minimis</w:t>
            </w:r>
            <w:r w:rsidR="00000000" w:rsidRPr="00000000" w:rsidDel="00000000">
              <w:rPr>
                <w:rtl w:val="0"/>
              </w:rPr>
              <w:t xml:space="preserve"> atbalsts ir saistīts ar kādu no Komisijas regulas Nr. 2023/2831 1. panta 1. punktā,  Eiropas Parlamenta un Padomes 2021. gada 24. jūnija Regulas (ES) Nr. 2021/1058 par Eiropas Reģionālās attīstības fondu un Kohēzijas fondu 7. panta 1. punktā noteiktajām nozarēm un darbībām un kādu no šo noteikumu 2. pielikumā minētajām neatbalstāmajām nozarēm un darbībām: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49.punktā ietvertos nosacījumus precizēt, ievērojot sekojošo: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Ierobežojumus, kas izriet no Eiropas Parlamenta un Padomes 2021.gada 24.jūnija Regulas (ES) 2021/1058 par Eiropas Reģionālās attīstības fondu un Kohēzijas fondu 7.panta 1.punktā noteiktajām nozarēm un darbībām, kā arī no šo noteikumu projekta 2.pielikuma, lūdzam attiecināt uz visu atbalsta pasākumu, neatkarīgi no piemērojamā komercdarbības atbalsta kontroles regulējuma.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Nosacījumus par nozaru un darbību ierobežojumiem, kas izriet no Komisijas regulas Nr.2023/2831 1.panta 1.punkta, lūdzam izteikt atsevišķā noteikumu projekta punktā un attiecināt tikai uz atbalstu, kas tiek sniegts saskaņā ar Komisijas regulu Nr.2023/2831.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Vienam </w:t>
            </w:r>
            <w:r w:rsidR="00000000" w:rsidRPr="00000000" w:rsidDel="00000000">
              <w:rPr>
                <w:i w:val="1"/>
                <w:rtl w:val="0"/>
              </w:rPr>
              <w:t xml:space="preserve">de minimis</w:t>
            </w:r>
            <w:r w:rsidR="00000000" w:rsidRPr="00000000" w:rsidDel="00000000">
              <w:rPr>
                <w:rtl w:val="0"/>
              </w:rPr>
              <w:t xml:space="preserve"> atbalsta saņēmējam </w:t>
            </w:r>
            <w:r w:rsidR="00000000" w:rsidRPr="00000000" w:rsidDel="00000000">
              <w:rPr>
                <w:i w:val="1"/>
                <w:rtl w:val="0"/>
              </w:rPr>
              <w:t xml:space="preserve">de minimis </w:t>
            </w:r>
            <w:r w:rsidR="00000000" w:rsidRPr="00000000" w:rsidDel="00000000">
              <w:rPr>
                <w:rtl w:val="0"/>
              </w:rPr>
              <w:t xml:space="preserve">atbalsta apmērs kopā ar attiecīgajā fiskālajā gadā un iepriekšējos divos fiskālajos gados piešķirto de minimis atbalstu nepārsniedz Komisijas regulas Nr. 2023/2831 3. panta 2. punktā noteikto maksimālo de minimis atbalsta apmēru viena vienota uzņēmuma līmenī, saskaņā ar Komisijas regulas Nr. 2023/2831 2.panta 2.punkta definīciju.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nepamatotas interpretācijas riskus par trīs gadu laika posma noteikšanu un nodrošinātu korektu atbilstību Komisijas regulas Nr.2023/2831 3.panta 2.punkta nosacījumiem, lūdzam precizēt noteikumu projekta 53.punktu, piemēram, izsakot to šādā redakcijā: "Pirms de minimis atbalsta piešķiršanas tiek pārbaudīts, vai plānotais de minimis atbalsts kopā ar iepriekšējos trīs gados no atbalsta piešķiršanas dienas saņemto de minimis atbalstu viena vienota uzņēmuma līmenī nepārsniedz Komisijas regulas Nr.2023/2831 3.panta 2.punktā noteikto maksimālo de minimis atbalsta apmēru. De minimis atbalsta apmērs tiek vērtēts viena vienota uzņēmuma līmenī saskaņā ar Komisijas regulas Nr. 2023/2831 2.panta 2.punkta definīciju."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anotāciju ar skaidrojumu par to, kā nosakāms trīs gadu laika posms, norādot, ka ar trīs gadu periodu saprotams laika periods no konkrēta datuma, kad piešķirts pēdējais atbalsts līdz konkrētam datumam, kas ir jaunā piešķiramā atbalsta datums, piemēram, ja jaunā atbalsta piešķiršanas datums ir 2024.gada 18.jūnijs, trīs gadu periods būs skaitāms līdz 2021.gada 18.jūnijam.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Pirms projekta pieteikuma iesniegšanas darba devējs vienojas ar finansējuma saņēmēju par komercdarbības atbalsta veidu atbilstoši Komisijas regulas Nr. 651/2014 vai Komisijas regulas Nr.  2023/2831 nosacījumiem.  Ja darba devējs pretendē uz komercdarbības atbalstu saskaņā ar Komisijas regulu Nr. 2023/2831, tad darba devējam ir jāsagatavo un finansējuma saņēmējam jāiesniedz de minimis atbalsta uzskaites sistēmā sagatavotu veidlapas izdruku vai jānorāda sistēmā izveidotās un apstiprinātās pretendenta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42.2.apakšpunktā norādīto par veidlapas iesniegšanu, noteikumu projekta 59.punkta otrais teikums ir lieks un lūdzam to dzēst.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Pirms projekta pieteikuma iesniegšanas darba devējs vienojas ar finansējuma saņēmēju par komercdarbības atbalsta veidu atbilstoši Komisijas regulas Nr. 651/2014 vai Komisijas regulas Nr.  2023/2831 nosacījumiem.  Ja darba devējs pretendē uz komercdarbības atbalstu saskaņā ar Komisijas regulu Nr. 2023/2831, tad darba devējam ir jāsagatavo un finansējuma saņēmējam jāiesniedz de minimis atbalsta uzskaites sistēmā sagatavotu veidlapas izdruku vai jānorāda sistēmā izveidotās un apstiprinātās pretendenta veidlapas identifikācijas numuru.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projekta 59.punktā minēto, ka pirms projekta pieteikuma iesniegšanas darba devējs vienojas ar finansējuma saņēmēju par piemērojamo komercdarbības atbalsta veidu, lūdzam anotācijā sniegt skaidrojumu par to, balstoties uz kādiem apsvērumiem, tiek pieņemts lēmums, vai atbalsts tiks sniegts saskaņā ar Komisijas regulas Nr.651/2014 vai Komisijas regulas Nr.2023/2831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Finansējuma saņēmējs šo noteikumu </w:t>
            </w:r>
            <w:r w:rsidR="00000000" w:rsidRPr="00000000" w:rsidDel="00000000">
              <w:rPr>
                <w:rtl w:val="0"/>
              </w:rPr>
              <w:t xml:space="preserve">29.1.2. </w:t>
            </w:r>
            <w:r w:rsidR="00000000" w:rsidRPr="00000000" w:rsidDel="00000000">
              <w:rPr>
                <w:rtl w:val="0"/>
              </w:rPr>
              <w:t xml:space="preserve">apakšpunkt</w:t>
            </w:r>
            <w:r w:rsidR="00000000" w:rsidRPr="00000000" w:rsidDel="00000000">
              <w:rPr>
                <w:rtl w:val="0"/>
              </w:rPr>
              <w:t xml:space="preserve">ā minētās izmaksas sniedz saskaņā ar Komisijas regulu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un tas ir uzskatāms par komercdarbības atbalstu finansējuma saņēmējam. Sadarbības iestāde atbilstoši šo noteikumu </w:t>
            </w:r>
            <w:r w:rsidR="00000000" w:rsidRPr="00000000" w:rsidDel="00000000">
              <w:rPr>
                <w:rtl w:val="0"/>
              </w:rPr>
              <w:t xml:space="preserve">59. </w:t>
            </w:r>
            <w:r w:rsidR="00000000" w:rsidRPr="00000000" w:rsidDel="00000000">
              <w:rPr>
                <w:rtl w:val="0"/>
              </w:rPr>
              <w:t xml:space="preserve">punkt</w:t>
            </w:r>
            <w:r w:rsidR="00000000" w:rsidRPr="00000000" w:rsidDel="00000000">
              <w:rPr>
                <w:rtl w:val="0"/>
              </w:rPr>
              <w:t xml:space="preserve">am vērtē finansējuma saņēmēja atbilstību </w:t>
            </w:r>
            <w:r w:rsidR="00000000" w:rsidRPr="00000000" w:rsidDel="00000000">
              <w:rPr>
                <w:i w:val="1"/>
                <w:rtl w:val="0"/>
              </w:rPr>
              <w:t xml:space="preserve">de minimis</w:t>
            </w:r>
            <w:r w:rsidR="00000000" w:rsidRPr="00000000" w:rsidDel="00000000">
              <w:rPr>
                <w:rtl w:val="0"/>
              </w:rPr>
              <w:t xml:space="preserve"> atbalsta nosacījumiem uz komercdarbības atbalsta piešķiršanas brīdi. Par komercdarbības atbalsta piešķiršanas dienu uzskatāma diena, kad sadarbības iestāde pieņēmusi lēmumu par komercdarbības atbalsta piešķiršanu finansējuma saņēmējam.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60.punktā ir noteikts komercdarbības atbalsta piešķiršanas brīdis finansējuma saņēmējam. Ievērojot to, ka arī darba devējiem tiek sniegts komercdarbības atbalsts, lūdzam noteikumu projektā definēt atbalsta piešķiršanas brīdi darba devējam, piešķirot atbalstu saskaņā ar Komisijas regulu Nr. 2023/2831 vai Komisijas regulu Nr. 651/2014.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Atbalsts šo noteikumu 29.1.2.2. apakšpunktā minēto izmaksu segšanai nav uzskatāms par komercdarbības atbalstu, ja finansējuma saņēmējs nodrošina projekta vadību, piemērojot šo noteikumu </w:t>
            </w:r>
            <w:r w:rsidR="00000000" w:rsidRPr="00000000" w:rsidDel="00000000">
              <w:rPr>
                <w:rtl w:val="0"/>
              </w:rPr>
              <w:t xml:space="preserve">41.3. </w:t>
            </w:r>
            <w:r w:rsidR="00000000" w:rsidRPr="00000000" w:rsidDel="00000000">
              <w:rPr>
                <w:rtl w:val="0"/>
              </w:rPr>
              <w:t xml:space="preserve">apakšpunktā</w:t>
            </w:r>
            <w:r w:rsidR="00000000" w:rsidRPr="00000000" w:rsidDel="00000000">
              <w:rPr>
                <w:rtl w:val="0"/>
              </w:rPr>
              <w:t xml:space="preserve"> minēto nosacījumu. Ja finansējuma saņēmējs nodrošina projekta vadību, tad šo noteikumu 29.1.2.1. un 29.1.2.3. apakšpunktā minēto izmaksu segšana ir uzskatāma par komercdarbības atbalstu finansējuma saņēmējam.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iepriekš izteikto iebildumu, kas ietverts izziņas 162.punktā, jo anotācijā joprojām nav ietverts pamatojums, kuru no Komercdarbības atbalsta kontroles likuma 5.pantā minētajām komercdarbības atbalstu raksturojošajām pazīmēm ir iespējams izslēgt attiecībā uz gadījumiem, kad biedrības aktivitātes īstenošanā iesaistās tikai kā starpnieki.  Ja noteikumu projekta virzītājs pamatojumu kādas no komercdarbības atbalstu raksturojošās pazīmes izslēgšanai sniegt nevar, lūdzam dzēst noteikumu projekta 61.punkta pirmo teikumu, kā arī noteikumu projektā tā anotācijā  nepārprotami norādīt, ka uz biedrībām sniegto publisko finansējumu tiks attiecināti komercdarbības atbalsta kontroles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Ja tiek pārkāptas komercdarbības atbalsta kontroles normas, kas izriet no Komisijas regulas Nr. 651/2014, finansējuma saņēmējs uzliek par pienākumu darba devējam atmaksāt finansējuma saņēmējam visu projekta ietvaros saņemto nelikumīgo valsts atbalstu. Finansējuma saņēmējam ir pienākums atmaksāt darba devēja projekta ietvaros saņemto nelikumīgo komercdarbības atbalstu kopā ar procentiem no līdzekļiem, kas ir brīvi no komercdarbības atbalsta, atbilstoši Komercdarbības atbalsta kontroles likuma IV vai V nodaļas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64.punktā norādīt, ka finansējuma saņēmējs nelikumīgo valsts atbalstu atmaksā sadarbības iestādei, skat. pēc līdzības noteikumu projekta 63.punktu.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Darba devējs atbalstu, kam ar Komisijas regulu Nr. 651/2014 piešķirts atbrīvojums, var kumulēt ar citu komercdarbības atbalstu, ja vien šie pasākumi attiecas uz dažādām nosakāmām attiecināmajām izmaksām, kā arī drīkst kumulēt ar citu komercdarbības atbalstu attiecībā uz tām pašām attiecināmajām izmaksām, kas daļēji vai pilnībā pārklājas, gadījumā, ja šādas kumulēšanas rezultātā netiek pārsniegta šo noteikumu </w:t>
            </w:r>
            <w:r w:rsidR="00000000" w:rsidRPr="00000000" w:rsidDel="00000000">
              <w:rPr>
                <w:rtl w:val="0"/>
              </w:rPr>
              <w:t xml:space="preserve">56. </w:t>
            </w:r>
            <w:r w:rsidR="00000000" w:rsidRPr="00000000" w:rsidDel="00000000">
              <w:rPr>
                <w:rtl w:val="0"/>
              </w:rPr>
              <w:t xml:space="preserve">punkt</w:t>
            </w:r>
            <w:r w:rsidR="00000000" w:rsidRPr="00000000" w:rsidDel="00000000">
              <w:rPr>
                <w:rtl w:val="0"/>
              </w:rPr>
              <w:t xml:space="preserve">ā  minētā atbalsta intensitāte un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minētajiem izņēmumiem. Ja par vienām un tām pašām projekta attiecināmajām izmaksām tiek sniegts atbalsts vairāku komercdarbības atbalsta programmu ietvaros, darba devējs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Komisijas regulas Nr.651/2014 8.panta 5.punktā norādīto, lai novērstu nepamatotas interpretācijas riskus, lūdzam precizēt noteikumu projekta 67.punktu, norādot, ka tajā paredzētais par atbalstu apvienošanu attieksies arī uz de minimis atbalstu.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Darba devējs atbalstu, kam ar Komisijas regulu Nr. 651/2014 piešķirts atbrīvojums, var kumulēt ar citu komercdarbības atbalstu, ja vien šie pasākumi attiecas uz dažādām nosakāmām attiecināmajām izmaksām, kā arī drīkst kumulēt ar citu komercdarbības atbalstu attiecībā uz tām pašām attiecināmajām izmaksām, kas daļēji vai pilnībā pārklājas, gadījumā, ja šādas kumulēšanas rezultātā netiek pārsniegta šo noteikumu </w:t>
            </w:r>
            <w:r w:rsidR="00000000" w:rsidRPr="00000000" w:rsidDel="00000000">
              <w:rPr>
                <w:rtl w:val="0"/>
              </w:rPr>
              <w:t xml:space="preserve">56. </w:t>
            </w:r>
            <w:r w:rsidR="00000000" w:rsidRPr="00000000" w:rsidDel="00000000">
              <w:rPr>
                <w:rtl w:val="0"/>
              </w:rPr>
              <w:t xml:space="preserve">punkt</w:t>
            </w:r>
            <w:r w:rsidR="00000000" w:rsidRPr="00000000" w:rsidDel="00000000">
              <w:rPr>
                <w:rtl w:val="0"/>
              </w:rPr>
              <w:t xml:space="preserve">ā  minētā atbalsta intensitāte un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minētajiem izņēmumiem. Ja par vienām un tām pašām projekta attiecināmajām izmaksām tiek sniegts atbalsts vairāku komercdarbības atbalsta programmu ietvaros, darba devējs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noteikumu 65.punktā punktā ir minēta atbalsta intensitāte, nevis izņēmums. Lūdzam atbilstoši precizēt noteikumu projekta 67.punktu.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atbalsta pasākumus darba devējiem darbinieku papildu izglītošanai, tai skaitā kritērijus šāda atbalsta saņemšanai;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norādīt viennozīmīgai izpratnei, kuri noteikumu projekta punkti attiecas uz  1.1. apakšpunktu un kuri uz 1.2.apakšpunktu.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kārtību, kādā īsteno Eiropas Savienības kohēzijas politikas programmas 2021. – 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4.2.4.1. pasākuma "Atbalsts nozaru vajadzībās balstītai pieaugušo izglītībai” pirmās kārtas projektu iesniegumu atlases (turpmāk – pasākuma pirmā kārta), tai skaitā: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projektu ar apakšpunktiem, kas nosaka pasākuma pirmās kārtas mērķi un mērķa grupu.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Projektu iesniegumos pasākuma pirmās kārtas īstenošanai kopējo pieejamo finansējumu plāno ne vairāk kā 12 219 109 </w:t>
            </w:r>
            <w:r w:rsidR="00000000" w:rsidRPr="00000000" w:rsidDel="00000000">
              <w:rPr>
                <w:i w:val="1"/>
                <w:rtl w:val="0"/>
              </w:rPr>
              <w:t xml:space="preserve">euro</w:t>
            </w:r>
            <w:r w:rsidR="00000000" w:rsidRPr="00000000" w:rsidDel="00000000">
              <w:rPr>
                <w:rtl w:val="0"/>
              </w:rPr>
              <w:t xml:space="preserve"> apmērā, tai skaitā ESF+ finansējumu – 10 386 242 </w:t>
            </w:r>
            <w:r w:rsidR="00000000" w:rsidRPr="00000000" w:rsidDel="00000000">
              <w:rPr>
                <w:i w:val="1"/>
                <w:rtl w:val="0"/>
              </w:rPr>
              <w:t xml:space="preserve">euro</w:t>
            </w:r>
            <w:r w:rsidR="00000000" w:rsidRPr="00000000" w:rsidDel="00000000">
              <w:rPr>
                <w:rtl w:val="0"/>
              </w:rPr>
              <w:t xml:space="preserve"> apmērā un valsts budžeta līdzfinansējumu –   1 832 867 </w:t>
            </w:r>
            <w:r w:rsidR="00000000" w:rsidRPr="00000000" w:rsidDel="00000000">
              <w:rPr>
                <w:i w:val="1"/>
                <w:rtl w:val="0"/>
              </w:rPr>
              <w:t xml:space="preserve">euro</w:t>
            </w:r>
            <w:r w:rsidR="00000000" w:rsidRPr="00000000" w:rsidDel="00000000">
              <w:rPr>
                <w:rtl w:val="0"/>
              </w:rPr>
              <w:t xml:space="preserve"> apmērā. Vienam projekta iesniegumam pasākuma pirmajā kārtā pieejamais minimālais finansējums ir  900 000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ar minimālo finansējumu  900 000 euro ir domāts ESF+ finansējums vai projekta kopējās attiecināmās izmaksas. Ievērojot pieejamā finansējuma apjomu un to, ka plānots nodrošināt atbalstu 13 nozaru biedrībām, kas pārstāv uzņēmumus, kā arī lai nodrošinātu iespējami plašāka loka nozaru uzņēmumiem iespēju saņemt atbalstu darbinieku profesionālās kompetences pilnveidei, rosinām noteikt vienam projekta iesniegumam </w:t>
            </w:r>
            <w:r w:rsidR="00000000" w:rsidRPr="00000000" w:rsidDel="00000000">
              <w:rPr>
                <w:u w:val="single"/>
                <w:rtl w:val="0"/>
              </w:rPr>
              <w:t xml:space="preserve">maksimālo </w:t>
            </w:r>
            <w:r w:rsidR="00000000" w:rsidRPr="00000000" w:rsidDel="00000000">
              <w:rPr>
                <w:rtl w:val="0"/>
              </w:rPr>
              <w:t xml:space="preserve">pieejamo finansējuma apjomu.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Maija Upeniece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nacionālais rādītājs līdz 2029. gada 31. decembrim  ar grantiem atbalstīto neunikālo komersantu skaits – 464, viena finansējuma saņēmēja projekta iesniegumā ne mazāk kā 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pārcelt prasību "viena finansējuma saņēmēja projekta iesniegumā ne mazāk kā 36" pie MKN projekta 20.punkta.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Pasākuma pirmās kārtas ietvaros atbalsts finansējuma saņēmējam tiek sniegts granta veidā, atbilstoši </w:t>
            </w:r>
            <w:r w:rsidR="00000000" w:rsidRPr="00000000" w:rsidDel="00000000">
              <w:rPr>
                <w:i w:val="1"/>
                <w:rtl w:val="0"/>
              </w:rPr>
              <w:t xml:space="preserve">de minimis</w:t>
            </w:r>
            <w:r w:rsidR="00000000" w:rsidRPr="00000000" w:rsidDel="00000000">
              <w:rPr>
                <w:rtl w:val="0"/>
              </w:rPr>
              <w:t xml:space="preserve"> atbalsta nosacījumiem saskaņā ar Komisijas 2033. gada 13. decembra Regulas (ES) Nr.  2023/2831 par Līguma par Eiropas Savienības darbību 107. un 108. panta piemērošanu </w:t>
            </w:r>
            <w:r w:rsidR="00000000" w:rsidRPr="00000000" w:rsidDel="00000000">
              <w:rPr>
                <w:i w:val="1"/>
                <w:rtl w:val="0"/>
              </w:rPr>
              <w:t xml:space="preserve">de minimis atbalstam</w:t>
            </w:r>
            <w:r w:rsidR="00000000" w:rsidRPr="00000000" w:rsidDel="00000000">
              <w:rPr>
                <w:rtl w:val="0"/>
              </w:rPr>
              <w:t xml:space="preserve"> (turpmāk – Komisijas regula Nr. 2023/2831)  un darba devējam – nefinanšu atbalsta veidā atbilstoši Komisijas Regulai 651/2014 31.pantam vai Komisijas Regulai 2023/2831.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Komisijas regulas Nr.2023/2831 pieņemšanas gadu, jo šobrīd norādītais ir nekorekts.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mācību īstenošanas nodrošināšana, tajā skaitā iepirkumu organizēšana;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noteikumu projekta 29.1.2. apakšpunktu projekta iesniedzējam ir attiecināmas arī projekta vadības izmaksas, lūdzam precizēt noteikumu projekta 26.1. apakšpunktā noteikto atbalstāmo darbību, papildinot to ar projekta vadību.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vadība un mācību īstenošanas nodrošināšana, tajā skaitā iepirkumu organizēšana;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 informatīvo pasākumu izmaksas, lai motivētu darba devējus attīstīt prasmes;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29.1.1. apakšpunktu ar atsauci uz Komisijas regulu 2023/2831 vai dzēst atsauci uz Komisijas regulu 2023/2831 noteikumu projekta 29.1.2.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29.2.1. darba devēja darbinieku izmitināšanas izmaksas, ja mācības norisinās ārvalstīs, atbilstoši Komisijas regulas Nr. 651/2014 31. panta 3. punkta “b” apakšpunktam;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sedz pārējās ar komandējumu saistītās izmaksas, piemēram, ceļa, apdrošināšanas utt.. Gadījumā, ja tās sedz darba devējs, lūdzam pārskatīt MKN 42.punktā noteiktos darba devēja pienākumus/ atbildības.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Krūze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36.2. nodokļi tajā skaitā pievienotās vērtības nodoklis, muitas nodokļi, nodevas un soda maksājumi, izņemot šo noteikumu </w:t>
            </w:r>
            <w:r w:rsidR="00000000" w:rsidRPr="00000000" w:rsidDel="00000000">
              <w:rPr>
                <w:rtl w:val="0"/>
              </w:rPr>
              <w:t xml:space="preserve">2.29.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35. </w:t>
            </w:r>
            <w:r w:rsidR="00000000" w:rsidRPr="00000000" w:rsidDel="00000000">
              <w:rPr>
                <w:rtl w:val="0"/>
              </w:rPr>
              <w:t xml:space="preserve">punkt</w:t>
            </w:r>
            <w:r w:rsidR="00000000" w:rsidRPr="00000000" w:rsidDel="00000000">
              <w:rPr>
                <w:rtl w:val="0"/>
              </w:rPr>
              <w:t xml:space="preserve">ā minētos gadījumus. Gadījumā, ja šādas izmaksas ir radušās, tās ir darba devēju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norādīt korektu atsauci uz MK apakšpunktu, t.i. 29.2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ka pievienotās vērtības nodoklis (turpmāk - PVN) var rasties arī pašam finansējuma saņēmējam, ne tikai darba devējam, nav izprotams kā šajā situācijā PVN varētu segt darba devējs. Lūdzam sniegt anotācijā skaidrojumu par šī MK noteikuma punkta piemērošanu praksē attiecībā uz pašu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nodokļi tajā skaitā pievienotās vērtības nodoklis, muitas nodokļi, nodevas un soda maksājumi, izņemot šo noteikumu 29.2. apakšpunktā un 35. punktā minētos gadījumus. Gadījumā, ja šādas izmaksas ir radušās, tās ir darba devēju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Darba devējs atbalstu, kam ar Komisijas regulu Nr. 651/2014 piešķirts atbrīvojums, var kumulēt ar citu komercdarbības atbalstu, ja vien šie pasākumi attiecas uz dažādām nosakāmām attiecināmajām izmaksām, kā arī drīkst kumulēt ar citu komercdarbības atbalstu attiecībā uz tām pašām attiecināmajām izmaksām, kas daļēji vai pilnībā pārklājas, gadījumā, ja šādas kumulēšanas rezultātā netiek pārsniegta šo noteikumu </w:t>
            </w:r>
            <w:r w:rsidR="00000000" w:rsidRPr="00000000" w:rsidDel="00000000">
              <w:rPr>
                <w:rtl w:val="0"/>
              </w:rPr>
              <w:t xml:space="preserve">56. </w:t>
            </w:r>
            <w:r w:rsidR="00000000" w:rsidRPr="00000000" w:rsidDel="00000000">
              <w:rPr>
                <w:rtl w:val="0"/>
              </w:rPr>
              <w:t xml:space="preserve">punkt</w:t>
            </w:r>
            <w:r w:rsidR="00000000" w:rsidRPr="00000000" w:rsidDel="00000000">
              <w:rPr>
                <w:rtl w:val="0"/>
              </w:rPr>
              <w:t xml:space="preserve">ā  minētā atbalsta intensitāte un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minētajiem izņēmumiem. Ja par vienām un tām pašām projekta attiecināmajām izmaksām tiek sniegts atbalsts vairāku komercdarbības atbalsta programmu ietvaros, darba devējs finansējuma saņēmējam iesniedz informāciju par plānoto un piešķirto atbalstu par tām pašām attiecināmajām izmaksām, norādot atbalsta piešķiršanas datumu (tai skaitā plānoto atbalsta piešķiršanas datumu), atbalsta intensitāti, atbalsta sniedzēju, atbalsta pasākumu vai investīciju un plānoto vai piešķirto atbalsta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noteikumu projekta 68.punktā jau ir ietverts nosacījums par informācijas sniegšanu atbalstu apvienošanas gadījumā, aicinām 67.punkta pēdējo teikumu dzēst.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Liede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izziņas 237.punktā izteikto Finanšu ministrijas komentāru un lūdzam papildināt anotāciju ar skaidrojumu, vai ar šiem noteikumiem tiks izpildīts Padomes īstenošanas lēmuma par Latvijas atveseļošanas un noturības plāna novērtējuma apstiprināšanu (CID) atskaites punkts Nr.57 “Kritēriju, kārtības un atbalsta pasākumu pieņemšana attiecībā uz stimuliem un atbildību uzņēmumiem (jo īpaši mazajās un vidējās nozarēs) izglītot savus darbiniekus”.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kā kārtējo (n) gadu norādīt 2024.gadu, attiecīgi precizējot atspoguļoto ietekmi uz budžetu, kā arī 5.1.apakšpunktā norādot precizēto finansiālo ietekmi.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23-TA-958</w:t>
    </w:r>
    <w:r>
      <w:br/>
    </w:r>
    <w:r w:rsidR="00000000" w:rsidRPr="00000000" w:rsidDel="00000000">
      <w:rPr>
        <w:rtl w:val="0"/>
      </w:rPr>
      <w:t xml:space="preserve">Izdrukāts 25.01.2024. 17.58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23-TA-958</w:t>
    </w:r>
    <w:r>
      <w:br/>
    </w:r>
    <w:r w:rsidR="00000000" w:rsidRPr="00000000" w:rsidDel="00000000">
      <w:rPr>
        <w:rtl w:val="0"/>
      </w:rPr>
      <w:t xml:space="preserve">Izdrukāts 25.01.2024. 17.58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Atzinumi_23-TA-958.docx</dc:title>
</cp:coreProperties>
</file>

<file path=docProps/custom.xml><?xml version="1.0" encoding="utf-8"?>
<Properties xmlns="http://schemas.openxmlformats.org/officeDocument/2006/custom-properties" xmlns:vt="http://schemas.openxmlformats.org/officeDocument/2006/docPropsVTypes"/>
</file>