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25-TA-360: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presi un citiem masu informācijas līdzekļiem"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elektronisko plašsaziņas līdzekļu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"IV</w:t>
            </w:r>
            <w:r w:rsidR="00000000" w:rsidRPr="00000000" w:rsidDel="00000000">
              <w:rPr>
                <w:b w:val="1"/>
                <w:vertAlign w:val="superscript"/>
                <w:rtl w:val="0"/>
              </w:rPr>
              <w:t xml:space="preserve">1</w:t>
            </w:r>
            <w:r w:rsidR="00000000" w:rsidRPr="00000000" w:rsidDel="00000000">
              <w:rPr>
                <w:b w:val="1"/>
                <w:rtl w:val="0"/>
              </w:rPr>
              <w:t xml:space="preserve"> nodaļa</w:t>
            </w:r>
            <w:r w:rsidR="00000000" w:rsidRPr="00000000" w:rsidDel="00000000">
              <w:rPr>
                <w:b w:val="1"/>
                <w:rtl w:val="0"/>
              </w:rPr>
              <w:t xml:space="preserve">Iestādes pienākumi un mediju tirgus koncentrāciju novērtēšana</w:t>
            </w:r>
            <w:r w:rsidR="00000000" w:rsidRPr="00000000" w:rsidDel="00000000">
              <w:rPr>
                <w:b w:val="1"/>
                <w:rtl w:val="0"/>
              </w:rPr>
              <w:t xml:space="preserve">26.</w:t>
            </w:r>
            <w:r w:rsidR="00000000" w:rsidRPr="00000000" w:rsidDel="00000000">
              <w:rPr>
                <w:b w:val="1"/>
                <w:vertAlign w:val="superscript"/>
                <w:rtl w:val="0"/>
              </w:rPr>
              <w:t xml:space="preserve">1</w:t>
            </w:r>
            <w:r w:rsidR="00000000" w:rsidRPr="00000000" w:rsidDel="00000000">
              <w:rPr>
                <w:b w:val="1"/>
                <w:rtl w:val="0"/>
              </w:rPr>
              <w:t xml:space="preserve"> pants. Valsts reklāmai izlietotā publiskā finansējuma pārraudzība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elektronisko plašsaziņas līdzekļu padome ir valsts regulatīvā iestāde Eiropas Mediju brīvības akta 2. panta 13. punkta izpratnē un īsteno Eiropas Mediju brīvības akta 25. panta 3. punktā noteiktās uzraudzības iestādes funkcijas un tiesības.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Iestādes apkopo Eiropas Mediju brīvības akta 25. panta 2. punktā noteikto informāciju par publiskajiem izdevumiem valsts reklāmai un katru gadu līdz 1. jūlijam iesniedz to Valsts kases ePārskatu sistēmā atbilstoši normatīvajiem aktiem, kādā nodrošina informācijas apriti, izmantojot Valsts kases e-pakalpojumus.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elektronisko plašsaziņas līdzekļu padome Eiropas Mediju brīvības akta 25. panta 3. punktā minētā ziņojuma sagatavošanai izmanto Valsts kases ePārskatu sistēmā līdz katra gada 1. jūlijam iestāžu iesniegto informāciju. Minētos gada ziņojumus Nacionālā elektronisko plašsaziņas līdzekļu padome publicē Latvijas Atvērto datu portālā."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26.</w:t>
            </w:r>
            <w:r w:rsidR="00000000" w:rsidRPr="00000000" w:rsidDel="00000000">
              <w:rPr>
                <w:b w:val="1"/>
                <w:vertAlign w:val="superscript"/>
                <w:rtl w:val="0"/>
              </w:rPr>
              <w:t xml:space="preserve">2</w:t>
            </w:r>
            <w:r w:rsidR="00000000" w:rsidRPr="00000000" w:rsidDel="00000000">
              <w:rPr>
                <w:b w:val="1"/>
                <w:rtl w:val="0"/>
              </w:rPr>
              <w:t xml:space="preserve"> pants. Par mediju tirgus koncentrāciju novērtēšanu atbildīgā iestāde un process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Mediju tirgus koncentrāciju novērtējumu pēc savas iniciatīvas vai Eiropas Mediju brīvības aktā noteiktajos gadījumos veic Nacionālā elektronisko plašsaziņas līdzekļu padome.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Mediju pakalpojumu sniedzējiem un citām mediju tirgus koncentrācijā iesaistītajām personām ir pienākums paziņot Nacionālajai elektronisko plašsaziņas līdzekļu padomei par jebkuru darījumu vai darījumiem, kuru rezultātā var tikt ietekmēts mediju plurālisms un mediju pakalpojumu sniedzēja redakcionālā neatkarība.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šā panta otrajā daļā minēto darījumu vai darījumiem tajā iesaistītajām personām ne vēlāk kā 14 dienas pirms darījuma veikšanas ir jāpaziņo Nacionālajai elektronisko plašsaziņas līdzekļu padomei.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Mediju tirgus koncentrāciju novērtējumu par darījumiem, kuru rezultātā būtiski var tikt ietekmēts mediju plurālisms un mediju pakalpojumu sniedzēju redakcionālā neatkarība, Nacionālā elektronisko plašsaziņas līdzekļu padome sagatavo ne vēlāk kā sešu mēnešu laikā no informācijas par darījumu saņemšanas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Mediju koncentrācijas izvērtējuma rezultātā Nacionālajai elektronisko plašsaziņas līdzekļu padomei ir tiesības pieņemt lēmumu, kurā noteikta kārtība, kādā mediju tirgus koncentrācijā iesaistītajiem dalībniekiem jāturpina nodrošināt mediju plurālisms un redakcionālā neatkarība, un termiņu tās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 panta piektajā daļā minēto Nacionālās elektronisko plašsaziņas līdzekļu padomes lēmumu procesa dalībniekiem ir tiesības pārsūdzēt Administratīvajā apgabaltiesā viena mēneša laikā no šā lēmuma spēkā stāšanās dienas. Tiesa lietu izskata kā pirmās instances tiesa. Lieta tiek izskatīta triju tiesnešu sastāvā. Administratīvās apgabaltiesas spriedumu var pārsūdzēt, iesniedzot kasācijas sūdzību.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elektronisko plašsaziņas līdzekļu padome izstrādā un nosaka vadlīnijas kārtībai, kādā jāveic mediju tirgus koncentrācijas izvērtēšana."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elektronisko plašsaziņas līdzekļu padomes (turpmāk - SEPLP) ieskatā likumprojekta 26.</w:t>
            </w:r>
            <w:r w:rsidR="00000000" w:rsidRPr="00000000" w:rsidDel="00000000">
              <w:rPr>
                <w:vertAlign w:val="superscript"/>
                <w:rtl w:val="0"/>
              </w:rPr>
              <w:t xml:space="preserve">2</w:t>
            </w:r>
            <w:r w:rsidR="00000000" w:rsidRPr="00000000" w:rsidDel="00000000">
              <w:rPr>
                <w:rtl w:val="0"/>
              </w:rPr>
              <w:t xml:space="preserve"> panta septītajā daļā paredzētais, ka Nacionālā elektronisko plašsaziņas līdzekļu padome (turpmāk - NEPLP) izstrādā un nosaka vadlīnijas kārtībai, kādā jāveic mediju tirgus koncentrācijas izvērtēšana neatbilst Eiropas Mediju brīvības akta 22. panta pirmajā daļā iekļautajam deleģējumam, kas noteic, ka mediju tirgus koncentrācijas novērtēšanas noteikumi ir paredzēti dalībvalsts tiesību aktos. NEPLP vadlīnijas nav uz āru saistošs normatīvais akts un nekādā veidā neaizstāj ārējos normatīvajos aktos noteikto un ir izmantojamas tikai kā tiesību normu paskaidrojošs materiāls.  Saskaņā ar Elektronisko plašsaziņas līdzekļu likuma 60. panta trešās daļas noteikumiem  vienīgais dokuments, ko ar ārēja normatīva akta spēku ir tiesīga izstrādāt un apstiprināt  NEPLP, ir Elektronisko plašsaziņas līdzekļu nozares attīstības nacionālā stratēģija. Ņemot vērā iepriekš minēto, uzskatām, ka kārtība, kādā jāveic mediju tirgus koncentrācijas izvērtēšana, ir nosakāma ārējā normatīvajā aktā, lūdzam veikt attiecīgus precizējumus arī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Ina Poriete (SEPLP)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25-TA-360</w:t>
    </w:r>
    <w:r>
      <w:br/>
    </w:r>
    <w:r w:rsidR="00000000" w:rsidRPr="00000000" w:rsidDel="00000000">
      <w:rPr>
        <w:rtl w:val="0"/>
      </w:rPr>
      <w:t xml:space="preserve">Izdrukāts 10.11.2025. 14.05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25-TA-360</w:t>
    </w:r>
    <w:r>
      <w:br/>
    </w:r>
    <w:r w:rsidR="00000000" w:rsidRPr="00000000" w:rsidDel="00000000">
      <w:rPr>
        <w:rtl w:val="0"/>
      </w:rPr>
      <w:t xml:space="preserve">Izdrukāts 10.11.2025. 14.05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Atzinumi_25-TA-360.docx</dc:title>
</cp:coreProperties>
</file>

<file path=docProps/custom.xml><?xml version="1.0" encoding="utf-8"?>
<Properties xmlns="http://schemas.openxmlformats.org/officeDocument/2006/custom-properties" xmlns:vt="http://schemas.openxmlformats.org/officeDocument/2006/docPropsVTypes"/>
</file>