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augstskolai tiek piešķirtas tiesības veikt ārvalstīs iegūto izglītības dokumentu ekspertīzi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un Latvijas Studentu apvienības un Valsts izglītības attīstības aģentūras. Komisijas darbu vada Izglītības un zinātnes ministrijas pārstāvis. Komisija viedokļa sniegšanai var piesaistīt pārstāvi no Ārlietu ministrijas, Pilsonības un migrācijas lietu pārvaldes, Augstākās izglītības eksporta apvienības,  un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pārfrāzēt noteikuma punktu – nav nepārprotami skaidrs, kam tiek piešķirtas balsstiesības komisijā un kam 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29.08.2024.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29.08.2024.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Atzinumi_23-TA-1187.docx</dc:title>
</cp:coreProperties>
</file>

<file path=docProps/custom.xml><?xml version="1.0" encoding="utf-8"?>
<Properties xmlns="http://schemas.openxmlformats.org/officeDocument/2006/custom-properties" xmlns:vt="http://schemas.openxmlformats.org/officeDocument/2006/docPropsVTypes"/>
</file>