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uz komersantu nav attiecināms jebkurš no šādiem gadījumiem kas ir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136.panta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projektā izteiktā 39.6.apakšpunkta ievaddaļa papildināta ar norādi, ka uz komersantu nav attiecināms jebkurš no šādiem gadījumiem "</w:t>
            </w:r>
            <w:r w:rsidR="00000000" w:rsidRPr="00000000" w:rsidDel="00000000">
              <w:rPr>
                <w:i w:val="1"/>
                <w:rtl w:val="0"/>
              </w:rPr>
              <w:t xml:space="preserve">kas ir saskaņā ar [Regulas (ES, Euratom) 2018/1046] 136.panta minētajiem kritērijiem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šī papildinājuma būtību (t.sk. nozīmi 39.6.apakšpunkta interpretācijā) un nepieciešamību. Vēršam uzmanību tai skaitā uz noteikumu projekta anotācijā minēto, ka </w:t>
            </w:r>
            <w:r w:rsidR="00000000" w:rsidRPr="00000000" w:rsidDel="00000000">
              <w:rPr>
                <w:i w:val="1"/>
                <w:rtl w:val="0"/>
              </w:rPr>
              <w:t xml:space="preserve">"Norma precizēta atbilstoši Finanšu ministrijas un Centrālā finanšu un līgumu aģentūras skaidrojumam, kas pamatots ar Eiropas Komisijas norādīto, ka  izslēgšanas kritēriji Atveseļošanas un noturības mehānisma ietvaros var tikt pārbaudīti tāpat kā nacionālajā Eiropas Savienības struktūrfondu regulējumā. Ņemot vērā minēto, ar MK noteikumu grozījumu projektu [Regulas (ES, Euratom) 2018/1046] 136. pantā minētie izslēgšanas nosacījumi tiek </w:t>
            </w:r>
            <w:r w:rsidR="00000000" w:rsidRPr="00000000" w:rsidDel="00000000">
              <w:rPr>
                <w:i w:val="1"/>
                <w:u w:val="single"/>
                <w:rtl w:val="0"/>
              </w:rPr>
              <w:t xml:space="preserve">aizstāti </w:t>
            </w:r>
            <w:r w:rsidR="00000000" w:rsidRPr="00000000" w:rsidDel="00000000">
              <w:rPr>
                <w:i w:val="1"/>
                <w:rtl w:val="0"/>
              </w:rPr>
              <w:t xml:space="preserve">ar izslēgšanas noteikumiem, kas noteikti Eiropas Savienības fondu 2021.—2027. gada plānošanas perioda vadības likuma 22. pantā.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atsauci uz regulu svītrot un jauno izslēgšanas kritēriju sasaisti ar regulas 136.pantu nepieciešamības gadījumā skaidrot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anotācijas 1.3.apakšpunktā norādīto informāciju, ka "MK noteikumu projekts neparedz ietekmi</w:t>
            </w:r>
            <w:r w:rsidR="00000000" w:rsidRPr="00000000" w:rsidDel="00000000">
              <w:rPr>
                <w:u w:val="single"/>
                <w:rtl w:val="0"/>
              </w:rPr>
              <w:t xml:space="preserve"> šobrīd iesniegtiem pieteikumiem</w:t>
            </w:r>
            <w:r w:rsidR="00000000" w:rsidRPr="00000000" w:rsidDel="00000000">
              <w:rPr>
                <w:rtl w:val="0"/>
              </w:rPr>
              <w:t xml:space="preserve">, jo atbalsta programma un aizdevumu </w:t>
            </w:r>
            <w:r w:rsidR="00000000" w:rsidRPr="00000000" w:rsidDel="00000000">
              <w:rPr>
                <w:u w:val="single"/>
                <w:rtl w:val="0"/>
              </w:rPr>
              <w:t xml:space="preserve">pieteikumu pieņemšana vēl nav uzsākta</w:t>
            </w:r>
            <w:r w:rsidR="00000000" w:rsidRPr="00000000" w:rsidDel="00000000">
              <w:rPr>
                <w:rtl w:val="0"/>
              </w:rPr>
              <w:t xml:space="preserve">", jo apgalvojums šādā formulējumā ir pretrunīgs.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15.03.2023.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15.03.2023.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