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apdraudējuma novēršanas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ziņu iekļaušanas kārtību valsts apdraudējuma novēršanas informācijas sistēmā (turpmāk - sistēma), ziņu glabāšanas termiņu, un institūcijas, kurām ir piešķirama piekļuve sistēmā iekļautajām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uztur iepriekš pausto iebildumu. Norādām, ka personas datu apstrādei ir jānotiek atbilstoši normatīvajos aktos noteiktajam apjomam un kārtībai, savukārt, MK noteikumu projekta anotācija vai Saeimas komisijas sēdē pārrunātais nav uzskatāms par pietiekamu tiesisko pamatu personas datu apstrādei. Tāpēc nav atbalstāma prakse MK noteikumu projekta anotācijā noteikt papildus apstrādājamo datu kategorijas, kas nav paredzētas Imigrācijas likuma 4.</w:t>
            </w:r>
            <w:r w:rsidR="00000000" w:rsidRPr="00000000" w:rsidDel="00000000">
              <w:rPr>
                <w:vertAlign w:val="superscript"/>
                <w:rtl w:val="0"/>
              </w:rPr>
              <w:t xml:space="preserve">4</w:t>
            </w:r>
            <w:r w:rsidR="00000000" w:rsidRPr="00000000" w:rsidDel="00000000">
              <w:rPr>
                <w:rtl w:val="0"/>
              </w:rPr>
              <w:t xml:space="preserve"> pantā, proti, "personu identificējošas ziņas - vārds (vārdi), uzvārds, dzimšanas datums, valstspiederība, ziņas par personas apliecinošo dokumentu (pasi) - izdevējvalsti, numuru, izdošanas datumu, derīguma termiņ", kas sastāda ievērojamu datu apjomu, kura apstrādei likumdevējs nav devis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šajos MK noteikumos būtu jānosaka precīzs valsts apdraudējuma novēršanas informācijas sistēmā apstrādājamo datu apjoms. Tas ir svarīgi, lai izvērtētu šīs apstrādes samērīgumu un atbilstību datu apstrādes nolūkam. Tāpēc lūdzam attiecīgi papildināt MK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31.07.2025.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31.07.2025.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Atzinumi_25-TA-1292.docx</dc:title>
</cp:coreProperties>
</file>

<file path=docProps/custom.xml><?xml version="1.0" encoding="utf-8"?>
<Properties xmlns="http://schemas.openxmlformats.org/officeDocument/2006/custom-properties" xmlns:vt="http://schemas.openxmlformats.org/officeDocument/2006/docPropsVTypes"/>
</file>