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ņemot vērā, ka 15% netiešo izmaksu likme ir paredzēta anotācijā uzskaitīto izmaksu segšanai, vienlaikus finansējuma saņēmēja vēlme pāriet uz izdevīgāku netiešo izmaksu vienotās likmes piemērošanas procentu nav objektīvs pamatojums. Attiecīgi lūdzam anotācijā izsekojami pamatot likmes un pieejas maiņu, novēršot bažas par izdevīgākā risinājuma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ministrijas sagatavoto Ministru kabineta noteikumu grozījumu viens no mērķiem ir arī intensificēt Eiropas Savienības fondu 2021.-2027. gada plānošanas perioda investīciju plūsmas, izvērtējot iespējas jau šobrīd plānotos/veiktos valsts budžeta izdevumus attiecināt uz Eiropas Savienības fondu 2021.-2027. gada plānošanas periodu, un šim mērķim novirzīt Daugavas gātes labiekārtošanai un Rīgas pils ekspozīcijas izveidei plānoto finansējumu, ir precizējama informācija anotācijas III sadaļā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jau šobrīd plānoto finansējumu sadalījumā pa projektiem un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šobrīd izlietoto un neizlietoto finansējumu sadalījumā pa projektiem un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plānotā (neizlietotā) finansējuma apmēru, kurš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grozījumu mērķis nav papildus iepriekš neplānota finansējuma piešķiršana minēto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rindkopu par iesniegtajiem projektu iesniegumiem: "</w:t>
            </w:r>
            <w:r w:rsidR="00000000" w:rsidRPr="00000000" w:rsidDel="00000000">
              <w:rPr>
                <w:i w:val="1"/>
                <w:rtl w:val="0"/>
              </w:rPr>
              <w:t xml:space="preserve">2024. gada 29. februārī ir iesniegts izstāžu zāles Arsenāls pārbūves un restaurācijas darbu veikšanas II posma projekta iesniegums un 2024. gada 25. martā ir iesniegts Lielās ģildes pārbūves un atjaunošanas II posma projekts un notiek tā vērtēšana. </w:t>
            </w:r>
            <w:r w:rsidR="00000000" w:rsidRPr="00000000" w:rsidDel="00000000">
              <w:rPr>
                <w:rtl w:val="0"/>
              </w:rPr>
              <w:t xml:space="preserve">", ņemot vērā, ka Lielās ģildes pārbūves un atjaunošanas II posma projekts tiek īstenots kā posmotais projekts atbilstoši Regulas Nr.2021/1060 118a panta nosacījumiem un tam netiek veikta vērtēšana, bet finansējuma saņēmēja atbilstības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29. februārī ir iesniegts izstāžu zāles Arsenāls pārbūves un restaurācijas darbu veikšanas II posma projekta iesniegums un notiek tā vērtēšana un 2024. gada 25. martā ir iesniegts Lielās ģildes pārbūves un atjaunošanas II posma projekts, kurā tiek pārbaudīta finansējuma saņēmēja atbilstība ES fondu izslēgšanas kritēriju un sankciju nosacījumu neesamībai.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protokollēmumu ar jaunu punktu piedāvātajā redakcijā, tādejādi atbalstot risinājumu par papildus uzņemto valsts budžeta saistību deklarēšanu Eiropas komisijai Eiropas Savienības kohēzijas politikas programmas 2021. -2027.gadam 5.1.1.5.pasākumā “Unikāla Eiropas mēroga kultūras mantojuma atjaunošana, lai veicinātu to piekļūstamību,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Kultūras ministrijas piedāvāto risinājumu attiecībā uz valsts budžeta finansējuma 4 976 670 EUR, kas piešķirts projektu “Daugavas gātes labiekārtošana” un “Rīgas pils ekspozīcijas izveide” īstenošanai, novirzīšanu deklarēšanai Eiropas Komisijai Eiropas kohēzijas politikas programmas 2021. -2027.gada 5.1.1.5.pasākuma “Unikāla Eiropas mēroga kultūras mantojuma atjaunošana, lai veicinātu to piekļūstamību, attīstot kultūras pakalpojumus”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iznākuma rādītājs: atbalstīto kultūras un tūrisma objektu skaits – trīs;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MKN grozījumiem paredzēts īstenot vēl vienu stratēģiskas nozīmes projektu (MKN grozījumu 19.4.apakšpunkts Daugavas gātes labiekārtošana un Rīgas pils ekspozīcijas izveide), lūdzam izvērtēt, vai nav nepieciešami precizējumi MKN 11.2. apakšpunktos sasniedzamajos uzraudzības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iznākuma rādītājs: atbalstīto kultūras un tūrisma objektu skaits –</w:t>
            </w:r>
            <w:r w:rsidR="00000000" w:rsidRPr="00000000" w:rsidDel="00000000">
              <w:rPr>
                <w:b w:val="1"/>
                <w:rtl w:val="0"/>
              </w:rPr>
              <w:t xml:space="preserve">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rezultāta rādītājs: atbalstīto kultūras un tūrisma vietu apmeklētāji gadā – </w:t>
            </w:r>
            <w:r w:rsidR="00000000" w:rsidRPr="00000000" w:rsidDel="00000000">
              <w:rPr>
                <w:b w:val="1"/>
                <w:rtl w:val="0"/>
              </w:rPr>
              <w:t xml:space="preserve">827 000.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un pieejamais kopējais attiecināmais finansējums ir 38 689 170 </w:t>
            </w:r>
            <w:r w:rsidR="00000000" w:rsidRPr="00000000" w:rsidDel="00000000">
              <w:rPr>
                <w:i w:val="1"/>
                <w:rtl w:val="0"/>
              </w:rPr>
              <w:t xml:space="preserve">euro</w:t>
            </w:r>
            <w:r w:rsidR="00000000" w:rsidRPr="00000000" w:rsidDel="00000000">
              <w:rPr>
                <w:rtl w:val="0"/>
              </w:rPr>
              <w:t xml:space="preserve">, tai skaitā Eiropas Reģionālās attīstības fonda finansējums – 28 655 625 </w:t>
            </w:r>
            <w:r w:rsidR="00000000" w:rsidRPr="00000000" w:rsidDel="00000000">
              <w:rPr>
                <w:i w:val="1"/>
                <w:rtl w:val="0"/>
              </w:rPr>
              <w:t xml:space="preserve">euro</w:t>
            </w:r>
            <w:r w:rsidR="00000000" w:rsidRPr="00000000" w:rsidDel="00000000">
              <w:rPr>
                <w:rtl w:val="0"/>
              </w:rPr>
              <w:t xml:space="preserve"> un nacionālais finansējums – 10 033 545 </w:t>
            </w:r>
            <w:r w:rsidR="00000000" w:rsidRPr="00000000" w:rsidDel="00000000">
              <w:rPr>
                <w:i w:val="1"/>
                <w:rtl w:val="0"/>
              </w:rPr>
              <w:t xml:space="preserve">euro</w:t>
            </w:r>
            <w:r w:rsidR="00000000" w:rsidRPr="00000000" w:rsidDel="00000000">
              <w:rPr>
                <w:rtl w:val="0"/>
              </w:rPr>
              <w:t xml:space="preserve"> (valsts budžeta līdzfinansējums – 4 174 522 </w:t>
            </w:r>
            <w:r w:rsidR="00000000" w:rsidRPr="00000000" w:rsidDel="00000000">
              <w:rPr>
                <w:i w:val="1"/>
                <w:rtl w:val="0"/>
              </w:rPr>
              <w:t xml:space="preserve">euro</w:t>
            </w:r>
            <w:r w:rsidR="00000000" w:rsidRPr="00000000" w:rsidDel="00000000">
              <w:rPr>
                <w:rtl w:val="0"/>
              </w:rPr>
              <w:t xml:space="preserve">, cits publiskais finansējums – 4 976 670 </w:t>
            </w:r>
            <w:r w:rsidR="00000000" w:rsidRPr="00000000" w:rsidDel="00000000">
              <w:rPr>
                <w:i w:val="1"/>
                <w:rtl w:val="0"/>
              </w:rPr>
              <w:t xml:space="preserve">euro </w:t>
            </w:r>
            <w:r w:rsidR="00000000" w:rsidRPr="00000000" w:rsidDel="00000000">
              <w:rPr>
                <w:rtl w:val="0"/>
              </w:rPr>
              <w:t xml:space="preserve">un pašvaldības līdzfinansējums – 882 353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izsekojami norādītu no valsts budžeta finansēto projektu izdevumus, kas atbilst 5.1.1.5.pasākuma tvērumam un ieviešanas nosacījumiem un kuri no valsts budžeta tiek pārcelti īstenošanai 5.1.1.5.apsākumā, tādejādi ļaujot deklarēt Eiropas Komisijai programmas investīciju veikto maksājumu ietvaros un izmantot ES normatīvajā regulējumā paredzēto iespēju deklarēt izdevumus lielākā apjomā nekā sākotnēji plānots, lai potenciāli aizstātu vēlāk ar tiem izdevumiem, kuri varētu tikt atzīti par neatbilstoši veiktiem citu investīciju projektu ietvaros finansētos projektus, lūdzam precizēt noteikumu projekta 12.punktu piedāvātajā redakcijā. Lūdzam atbilstoši precizēt saistošo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ierosinātos grozījumus noteikumu 19.4.apakšpunktā, lūdzam pārskatīt precizējumu nepieciešamību noteikumu 20.punktam, norādot finansējuma saņēmēju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un pieejamais kopējais attiecināmais finansējums ir 38 689 170 euro, tai skaitā Eiropas Reģionālās attīstības fonda finansējums – 32 885 794 euro (t.sk. 4 230 169 euro valsts budžeta finansējums, kas pārsniedz pasākumam pieejamo Eiropas Reģionālās attīstības fonda finansējumu) un nacionālais finansējums – 5 803 376 euro (valsts budžeta līdzfinansējums – 4 921 023 euro, pašvaldības līdzfinansējums – 882 353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skaidrus nosacījumus normatīvajā regulējumā, lūdzam papildināt MKN 36.1. apakšpunktu atbilstoši vadošās iestādes vadlīnijās Nr.1.2. "Vadlīnijas attiecināmo izmaksu noteikšanas nosacījumiem Eiropas Savienības fondu 2021.-2027. gada plānošanas periodā" noteiktajiem ierobežojumiem projekta vadības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personāla atlīdzības izmaksas, kas tieši saistītas ar projekta īstenošanu un mērķa sasniegšanu un radušās uz darba līguma vai uzņēmuma līguma (pakalpojuma līguma) pamata, tai skaitā valsts sociālās apdrošināšanas obligātās iemaksas no apliekamajām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36.1.1. projektiem ar tiešajām attiecināmajām izmaksām virs 5 000 000 euro maksimālais ierobežojums Eiropas Reģionālās attīstības fonda finansējuma daļai tiešajām projekta vadības personāla izmaksām nepārsniedz 84 787 euro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projektiem ar tiešajām attiecināmajām izmaksām līdz 5 000 000 euro (ieskaitot) projekta vadības personāla izmaksu ierobežojums tiek aprēķināts pie minimālo izmaksu bāzes 34 422 euro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24.04.2024.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24.04.2024.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Atzinumi_24-TA-921.docx</dc:title>
</cp:coreProperties>
</file>

<file path=docProps/custom.xml><?xml version="1.0" encoding="utf-8"?>
<Properties xmlns="http://schemas.openxmlformats.org/officeDocument/2006/custom-properties" xmlns:vt="http://schemas.openxmlformats.org/officeDocument/2006/docPropsVTypes"/>
</file>