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7.6.apakšpunktā paredzēto papildus finansējumu  atbalsta programmai,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sabiedrībi “Altum” atmaksātā publiskā finansējuma,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7.6.apakšpunktu, lai nodrošinātu atbilstību  Attīstības finanšu institūcijas likuma 12.panta ceturtajā daļā noteiktajam, paredzot atmaksātā publiskā finansējuma apmēru. Gadījumā, ja nav iespējams noteikt konkrētu atmaksu summu, lūdzam noteikt līdz kādai summai ir iespējams izmantot atmaksas,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svītrots 1.2.2.2. pasākums, kā arī pārdalīts tam pieejamais finansējums, lūdzam atbildīgo iestādi virzīt grozījumus Ministru kabineta 2023.gada 5.septembra noteikumos Nr.510 "Eiropas Savienības kohēzijas politikas programmas 2021.–2027. gadam finanšu instrumentu kopīgie īstenošanas noteikumi", lai nodrošinātu informācijas saskaņotību par pasākumiem, kurus paredzēts īstenot finanšu instrumentu veidā, kā arī šiem pasākumiem plānoto un pieejamo finansējumu, tā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Garantijas prēmijas un subsīdijas ekvivalenta aprēķināšana un valsts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pretendenta atbilstību atbalsta programmā noteiktajiem de minimis nosacījumiem ir jāvērtē uz atbalsta piešķiršanas brīdi. Ņemot vērā iepriekš minēto, lūdzam papildināt noteikumu projektu ar normu, kas nosaka, ka atbalsta sniedzējs veic saimnieciskās darbības veicēja izvērtēšanu atbilstoši Komisijas regulas Nr. 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Piesakoties atbalstam,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1.jūlijā stājušies spēkā grozījumi Ministru kabineta 2018. gada 21. novembra noteikumos Nr. 715 "De minimis atbalsta uzskaites un piešķiršanas kārtība", lūdzam precizēt noteikumu 23.punktu un svītrot vārdus "un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Ievērojot Komisijas regulas Nr. </w:t>
            </w:r>
            <w:r w:rsidR="00000000" w:rsidRPr="00000000" w:rsidDel="00000000">
              <w:rPr>
                <w:rtl w:val="0"/>
              </w:rPr>
              <w:t xml:space="preserve">2023/2831</w:t>
            </w:r>
            <w:r w:rsidR="00000000" w:rsidRPr="00000000" w:rsidDel="00000000">
              <w:rPr>
                <w:rtl w:val="0"/>
              </w:rPr>
              <w:t xml:space="preserve">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noteiktajam robežlielumam, kā arī drīkst apvienot ar citu valsts atbalstu attiecībā uz vienām un tām pašām attiecināmajām izmaksām vai citu valsts atbalstu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kumulācijas prasību ievērošanu, kas izriet no Komisijas regulas Nr. 2023/2831 5. panta nosacījumiem, aicinām precizēt noteikumu projekta 30. punktu. Lūdzam skatīt piedāvātās redakcijas piemēru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 2023/2831 5. pantā minētos nosacījumus, šo noteikumu ietvaros piešķirto de minimis atbalstu drīkst apvienot ar citu de minimis atbalstu, </w:t>
            </w:r>
            <w:r w:rsidR="00000000" w:rsidRPr="00000000" w:rsidDel="00000000">
              <w:rPr>
                <w:i w:val="1"/>
                <w:rtl w:val="0"/>
              </w:rPr>
              <w:t xml:space="preserve">tai skaitā attiecībā uz vienām un tām pašām attiecināmajām izmaksām</w:t>
            </w:r>
            <w:r w:rsidR="00000000" w:rsidRPr="00000000" w:rsidDel="00000000">
              <w:rPr>
                <w:rtl w:val="0"/>
              </w:rPr>
              <w:t xml:space="preserve">, līdz Komisijas regulas Nr. 2023/2831 3. panta 2. punktā noteiktajam robežlielumam, kā arī drīkst apvienot ar citu valsts atbalstu,</w:t>
            </w:r>
            <w:r w:rsidR="00000000" w:rsidRPr="00000000" w:rsidDel="00000000">
              <w:rPr>
                <w:i w:val="1"/>
                <w:rtl w:val="0"/>
              </w:rPr>
              <w:t xml:space="preserve"> tai skaitā </w:t>
            </w:r>
            <w:r w:rsidR="00000000" w:rsidRPr="00000000" w:rsidDel="00000000">
              <w:rPr>
                <w:rtl w:val="0"/>
              </w:rPr>
              <w:t xml:space="preserve">attiecībā uz vienām un tām pašām attiecināmajām izmaksām vai citu valsts atbalstu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03.04.2025.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03.04.2025.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Atzinumi_25-TA-400.docx</dc:title>
</cp:coreProperties>
</file>

<file path=docProps/custom.xml><?xml version="1.0" encoding="utf-8"?>
<Properties xmlns="http://schemas.openxmlformats.org/officeDocument/2006/custom-properties" xmlns:vt="http://schemas.openxmlformats.org/officeDocument/2006/docPropsVTypes"/>
</file>