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programma uzņēmējdarbības zaļināšanai, atjaunojamo energoresursu izmantošanai un energoefektivitātes paaugstināšanai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siltumuzņēmumu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23.5.3. energoefektīvas centralizētās siltumapgādes vai centralizētas aukstumapgādes sistēmas vai kombinētas centralizētās siltumapgādes un aukstumapgādes sistēmas un ar to saistītā aprīkojuma pieslēgšana;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Centralizētā siltumapgāde (CSA) valsts politikas plānošanas dokumentos ir atzīta kā nozīmīgs instruments klimata un zaļā kursa mērķu sasniegšanai. Eiropas Savienības fondu un cita finanšu atbalsta 2021.-2027.gada plānošanas perioda programmās ir paredzēts atbalsts CSA attīstībai, tostarp arī palielināt šajās sistēmās AER tehnoloģiju izmantošanu, bezemisiju tehnoloģiju ieviešanu  un elektrifikāciju.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likuma 51.pantā centralizētā siltumapgāde (CSA) ir norādīta, kā risinājums “Lai samazinātu siltumapgādes radītās siltumnīcefekta gāzu emisijas, palielinātu atjaunīgās enerģijas īpatsvaru siltumapgādē un ēkās, kā arī samazinātu importēto vai ievesto energoresursu apjomu” un pašvaldības var noteikt pienākumu pieslēgties centralizētai siltumapgādes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biedru līdzšinējo pieredzi ES KF līdzfinansētu projektu īstenošanā, un, lai veicinātu valsts mērķu sasniegšanu, aicinām papildināt punktu, paredzot, ka attiecināmas ir arī siltumtīklu izbūves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23.5.3. energoefektīvas centralizētās siltumapgādes vai centralizētas aukstumapgādes sistēmas vai kombinētas centralizētās siltumapgādes un aukstumapgādes sistēmas un ar to saistītā aprīkojuma pieslēgšana, </w:t>
            </w:r>
            <w:r w:rsidR="00000000" w:rsidRPr="00000000" w:rsidDel="00000000">
              <w:rPr>
                <w:u w:val="single"/>
                <w:rtl w:val="0"/>
              </w:rPr>
              <w:t xml:space="preserve">tai skaitā siltumtīklu izbūvei, modernizācijai vai pārbūvei centralizētās siltumapgādes vai centralizētas aukstumapgādes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Kapitāla atlaide, ko piešķir sabiedrības "Altum" aizdevuma vai cita finansētāja pamatsummas pilnīgam vai daļējam samazinājumam, ir ne vairāk kā 3 000 000 euro, nepārsniedzot šajos noteikumos minēto pieļaujamo atbalsta intensitāti vienam vienotam uzņēmumam pieejamo vai de minimis limita apmēru, bet ne vairāk 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LSUA biedru sniegto informāciju, zema atbalsta intensitāte ir teju vienīgais iemesls, kādēļ projektu attīstītāji (realizētāji) atsakās veikt pieslēgšanos CSA, tā vietā siltumapgādei izvēloties risinājumu, kas neatbilst valsts mērķiem. Arī zemā aktivitāte līdzīgās iepriekšējā plānošanas perioda programmās liek domāt, ka, nepārskatot atbalsta intensitāti, programmai atvēlētais finansējums netiks apgūts. Aicinām papildināt pantu ar vēl vienu apakšpunktu, paredzot 45 % samazinājumu aizdevumam, ja tiek realizēta pieslēgšanās CSA.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63.3. 45 procenti no aizdevuma vai cita finansētāja aizdevuma apmēra, kas piešķirts projekta attiecināmo izmaksu segšanai pieslēguma centralizētajai siltumapgādei izbūvei 2.1.1.2. un 6.1.1.4 pasākumu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24-TA-1521</w:t>
    </w:r>
    <w:r>
      <w:br/>
    </w:r>
    <w:r w:rsidR="00000000" w:rsidRPr="00000000" w:rsidDel="00000000">
      <w:rPr>
        <w:rtl w:val="0"/>
      </w:rPr>
      <w:t xml:space="preserve">Izdrukāts 20.12.2024. 15.30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24-TA-1521</w:t>
    </w:r>
    <w:r>
      <w:br/>
    </w:r>
    <w:r w:rsidR="00000000" w:rsidRPr="00000000" w:rsidDel="00000000">
      <w:rPr>
        <w:rtl w:val="0"/>
      </w:rPr>
      <w:t xml:space="preserve">Izdrukāts 20.12.2024. 15.30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Atzinumi_24-TA-1521.docx</dc:title>
</cp:coreProperties>
</file>

<file path=docProps/custom.xml><?xml version="1.0" encoding="utf-8"?>
<Properties xmlns="http://schemas.openxmlformats.org/officeDocument/2006/custom-properties" xmlns:vt="http://schemas.openxmlformats.org/officeDocument/2006/docPropsVTypes"/>
</file>