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Papildināt pārejas noteikumus ar 30.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šā likuma 22.</w:t>
            </w:r>
            <w:r w:rsidR="00000000" w:rsidRPr="00000000" w:rsidDel="00000000">
              <w:rPr>
                <w:vertAlign w:val="superscript"/>
                <w:rtl w:val="0"/>
              </w:rPr>
              <w:t xml:space="preserve">2</w:t>
            </w:r>
            <w:r w:rsidR="00000000" w:rsidRPr="00000000" w:rsidDel="00000000">
              <w:rPr>
                <w:rtl w:val="0"/>
              </w:rPr>
              <w:t xml:space="preserve"> panta 5.</w:t>
            </w:r>
            <w:r w:rsidR="00000000" w:rsidRPr="00000000" w:rsidDel="00000000">
              <w:rPr>
                <w:vertAlign w:val="superscript"/>
                <w:rtl w:val="0"/>
              </w:rPr>
              <w:t xml:space="preserve">1</w:t>
            </w:r>
            <w:r w:rsidR="00000000" w:rsidRPr="00000000" w:rsidDel="00000000">
              <w:rPr>
                <w:rtl w:val="0"/>
              </w:rPr>
              <w:t xml:space="preserve"> daļas 1. punkta spēkā stāšanās brīdī kritiskās infrastruktūras D kategorijā ir iekļauti subjekti, kuros ir konstatējama Krievijai un Baltkrievijai piederīgo personu būtiska līdzdalība vai izšķiroša ietekme, vai šādas personas ir attiecīgo subjektu patiesie labuma guvēji, tad Aizsardzības ministrija sadarbībā ar nozares ministriju apzina attiecīgos subjektus un iesniedz Iekšlietu ministrijā priekšlikumus par to izslēgšanu no kritiskās infrastruktūras D kategorijas kopuma.”.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"Grozījumi Nacionālās drošības likumā" 7.pantu pārejas noteikumi tiek papildināti ar 30.punktu, kas nosaka, ka, ja “kritiskās infrastruktūras D kategorijā ir iekļauti subjekti, kuros ir konstatējama Krievijai un Baltkrievijai piederīgo personu būtiska līdzdalība vai izšķiroša ietekme, vai šādas personas ir attiecīgo subjektu patiesie labuma guvēji, tad Aizsardzības ministrija sadarbībā ar nozares ministriju apzina attiecīgos subjektus un iesniedz Iekšlietu ministrijā priekšlikumus par to izslēgšanu no kritiskās infrastruktūras D kategorijas kopuma”. Likumprojekta anotāciju nepieciešams papildināt ar informāciju par to, kādi  pienākumi un ierobežojumi no nacionālās drošības viedokļa ir augstākminētajiem no kritiskās infrastruktūras D kategorijas kopuma izslēgtajiem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pašlaik normatīvie akti, kas nosaka elektronisko sakaru pakalpojumu sniedzēju reģistrācijas kārtību, neparedz attiecīgo uzņēmumu kapitāla daļu īpašnieku, amatpersonu vai patieso labuma guvēju kontroles mehānismu (kādu paredz, piemēram, elektronisko plašsaziņas līdzekļu reģistrācijas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informāciju par to, kādi  pienākumi un ierobežojumi no nacionālās drošības viedokļa ir augstākminētajiem no kritiskās infrastruktūras D kategorijas kopuma izslēgtajiem subjektiem.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Melnūdris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23.08.2024. 09.15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23.08.2024. 09.15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Atzinumi_24-TA-564.docx</dc:title>
</cp:coreProperties>
</file>

<file path=docProps/custom.xml><?xml version="1.0" encoding="utf-8"?>
<Properties xmlns="http://schemas.openxmlformats.org/officeDocument/2006/custom-properties" xmlns:vt="http://schemas.openxmlformats.org/officeDocument/2006/docPropsVTypes"/>
</file>