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Kritiskās infrastruktūras, tostarp Eiropas mērogā īpaši nozīmīgas kritiskās infrastruktūras, apzināšanas, drošības pasākumu, incidentu paziņošanas, darbības nepārtrauktības un noturības pasākumu plānošanas un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skaidrot atšķirību starp terminiem "kritiskā infrastruktūra" un "kritiskā vienība", ņemot vērā transponētās </w:t>
            </w:r>
            <w:r w:rsidR="00000000" w:rsidRPr="00000000" w:rsidDel="00000000">
              <w:rPr>
                <w:i w:val="1"/>
                <w:rtl w:val="0"/>
              </w:rPr>
              <w:t xml:space="preserve">Eiropas Parlamenta un Padomes 2022. gada 14. decembra Direktīvas (ES) 2022/2557 par kritisko vienību noturību un Padomes Direktīvas 2008/114/EK atcelšanu</w:t>
            </w:r>
            <w:r w:rsidR="00000000" w:rsidRPr="00000000" w:rsidDel="00000000">
              <w:rPr>
                <w:rtl w:val="0"/>
              </w:rPr>
              <w:t xml:space="preserve"> (turpmāk - Direktīva 2022/2557) 2. panta 1. un 4. punktā iekļautās definīcijas. Proti, vai ar terminu "kritiskā infrastruktūra" tiek saprasta arī "kritiskā vienība" (skat., piemēram, anotācijas 5.4. sadaļas 1. tabulas ierakstu attiecībā uz Direktīvu 2022/2557, kur noteikts, ka tās 1. panta 3. punkts pārņemts noteikumu projekta 32. punktā. Direktīvas 2022/2557 1. panta 3. punkts attiecas uz terminu "kritiskā vienība"). Nepieciešamības gadījumā aicinām precizēt noteikumu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un 12. punktā un 18.3.1. apakšpunktā ietverta atsauce uz </w:t>
            </w:r>
            <w:r w:rsidR="00000000" w:rsidRPr="00000000" w:rsidDel="00000000">
              <w:rPr>
                <w:i w:val="1"/>
                <w:rtl w:val="0"/>
              </w:rPr>
              <w:t xml:space="preserve">Komisijas 2023. gada 25. jūlija deleģēto regulu (ES) 2023/2450, ar ko papildina Eiropas Parlamenta un Padomes Direktīvu (ES) 2022/2557, izveidojot pamatpakalpojumu sarakstu</w:t>
            </w:r>
            <w:r w:rsidR="00000000" w:rsidRPr="00000000" w:rsidDel="00000000">
              <w:rPr>
                <w:rtl w:val="0"/>
              </w:rPr>
              <w:t xml:space="preserve"> (turpmāk - Regula 2023/2450). Attiecīgi lūdzam papildināt anotācijas 5.4. sadaļas 1. tabulu attiecībā uz Regulas 2023/2450 ieviešanu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gan regulas saskaņā ar Līguma par Eiropas Savienības darbību 288. panta otro daļu ir vispārpiemērojamas, tās uzliek saistības kopumā un ir tieši piemērojamas visās dalībvalstīs, aicinām to prasību ievērošana un nacionālo tiesību aktu sasaisti atspoguļot anotācijas 5.4. sadaļas 1. tabulā. Minētās tabulas mērķis ir parādīt, kā nacionālais tiesību akts atbilst attiecīgajam Eiropas Savienības tiesību aktam un nodrošina tā prasību izpildi. Kā arī, ja tiesību akts ietver tiešas atsauces uz regulas normām un to vienībām, tas pēc būtības uzskatāms par regulu prasību ieviešana, jo tādējādi tiek nodrošināta regulas prasību praktiskā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anotācijas 5. sadaļu attiecībā uz </w:t>
            </w:r>
            <w:r w:rsidR="00000000" w:rsidRPr="00000000" w:rsidDel="00000000">
              <w:rPr>
                <w:i w:val="1"/>
                <w:rtl w:val="0"/>
              </w:rPr>
              <w:t xml:space="preserve">Komisijas 2003. gada 6. maija Ieteikumu par mikrouzņēmumu, mazo un vidējo uzņēmumu definīciju</w:t>
            </w:r>
            <w:r w:rsidR="00000000" w:rsidRPr="00000000" w:rsidDel="00000000">
              <w:rPr>
                <w:rtl w:val="0"/>
              </w:rPr>
              <w:t xml:space="preserve"> (skat. noteikumu projekta 5.9. apakšpunktu). Skaidrojam, ka, lai gan ieteikumi ir juridiski nesaistoši, tie atbilstoši Līguma par Eiropas Savienības darbību 288. pantam ir Eiropas Savienības tiesību akti un ietekmē Eiropas Savienības tiesību iztulkošanu un harmonizētu piemērošanu, tādējādi jānorāda to sasiaste ar nacionālo tiesību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ieviesto pasākumu aprakstu, kuru mērķis ir sekmēt, lai mazie un vidējie uzņēmumi, kā tas noteikts Komisijas Ieteikuma 2003/361/EK pielikumā, kuri ir noteikti par kritisko infrastruktūru, īstenotu pienākumus saskaņā ar šo noteikumu 4.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noteikuma projektā un anotācijā atsauces uz Eiropas Savienības tiesību aktiem noformēt atbilstoši Ministru kabineta 2009. gada 3. februāra noteikumu Nr. 108 „Normatīvo aktu projektu sagatavošanas noteikumi” 170.-172. punktam, atsaucē uz Eiropas Savienības tiesību aktu norādot šādu informāciju: institūcija (Komisija, Padome, Eiropas Parlaments), kas izdevusi attiecīgo tiesību aktu; tiesību akta pieņemšanas datums; veids (regula, direktīva, lēmums, u.c.); numurs un nosaukums atbilstoši tiesību akta nosaukumam latviešu valodā EUR-Lex datu bāzē. Piemēram, Komisijas 2023. gada 25. jūlija deleģētā regula (ES) 2023/2450, ar ko papildina Eiropas Parlamenta un Padomes Direktīvu (ES) 2022/2557, izveidojot pamatpakalpojumu sarakstu.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12.35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12.35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Atzinumi_25-TA-1988.docx</dc:title>
</cp:coreProperties>
</file>

<file path=docProps/custom.xml><?xml version="1.0" encoding="utf-8"?>
<Properties xmlns="http://schemas.openxmlformats.org/officeDocument/2006/custom-properties" xmlns:vt="http://schemas.openxmlformats.org/officeDocument/2006/docPropsVTypes"/>
</file>