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Enerģijas lietotāju apgādes kārtība izsludinātas enerģētiskās krīzes laikā un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"Gaso"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elektroenerģijas pārvades sistēmas operators vai vienotais dabasgāzes pārvades un uzglabāšanas sistēmas operators (turpmāk – vienotais dabasgāzes sistēmas operators) konstatē valsts enerģētiskās krīzes iestāšanās apstākļus, tie nekavējoties informē par enerģētiku atbildīgo ministriju (turpmāk – Ministrija) un attiecīgās nozares sadales sistēmas operatorus par nepieciešamību ierobežot elektroenerģijas vai dabasgāzes patēriņu, lai nodrošinātu elektroenerģijas sistēmas vai dabasgāzes apgādes sistēmas stabilu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4.punkts nosaka elektroenerģijas pārvades sistēmas operatora un vienotā dabasgāzes pārvades un uzglabāšanas sistēmas operatora aktivitātes gadījumā, ja tiek konstatētas valsts enerģētiskās krīzes iestāšanās apstākļi. Lai nodrošinātu tiesību normas precizitāti, minētajā punktā ir precīzi jāatrunā kritēriji, pēc kuriem operatoriem ir jāvadās valsts enerģētiskās krīzes iestāšanās apstākļu identificēšanā vai jāparedz atsauce uz tiesību aktu, kurš to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aicinām mainīt noteikumu projekta 4.punktā atrunāto vienotā dabasgāzes pārvades un uzglabāšanas sistēmas operatora apzīmējuma saīsināto formu, jo piedāvātā redakcija var veicināt pārpratumus kļūdaini attiecinot to uz sadales sistēmas operatoru. Ierosinām saīsinātā formā izmantot vārdus “dabasgāzes pārvades sistēmas operators”.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minētajā Ministru kabineta rīkojuma projektā tiek iekļauta informācija par valsts enerģētiskās krīzes termiņu, ietekmēto teritoriju, plānotajiem pasākumiem, kas saistīti ar valsts enerģētiskās krīzes pārvarēšanu, iesaistītājām institūcijām un komersantiem, to pienākumiem un atbildību, citu nepieciešamo informāciju, kā arī valsts enerģētiskās krīzes izsludināšanai dabasgāzes nozarē – informāciju par pieļaujamo dabasgāzes patēriņa apjomu valsts enerģētiskās krīzes laikā un dabasgāzes piegādes ierobežošanu vai pārtraukšanu šo noteikumu </w:t>
            </w:r>
            <w:r w:rsidR="00000000" w:rsidRPr="00000000" w:rsidDel="00000000">
              <w:rPr>
                <w:rtl w:val="0"/>
              </w:rPr>
              <w:t xml:space="preserve">22.4. </w:t>
            </w:r>
            <w:r w:rsidR="00000000" w:rsidRPr="00000000" w:rsidDel="00000000">
              <w:rPr>
                <w:rtl w:val="0"/>
              </w:rPr>
              <w:t xml:space="preserve">apakšpunktā</w:t>
            </w:r>
            <w:r w:rsidR="00000000" w:rsidRPr="00000000" w:rsidDel="00000000">
              <w:rPr>
                <w:rtl w:val="0"/>
              </w:rPr>
              <w:t xml:space="preserve"> minētajai lietotāju grupai vai konkrētam gazificētam objektam.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7.punkta izriet, ka Ministru kabinet savā rīkojumā par valsts enerģētiskās krīzes izsludināšanu noteiks dabasgāzes piegādes ierobežojums vai pārtraukšanu tikai ceturtās grupas dabasgāzes lietotājiem, tas ir tautsaimniecībai nozīmīgiem komersantiem. Tai pašā laikā noteikumu projektā skaidri nav noteiks kas dabasgāzes piegādes ierobežojums vai pārtraukšanu noteiks dabasgāzes otrās un trešās grupas lietotājiem. Ievērojot noteikumu projekta 25.2.apakšpunktā noteikto </w:t>
            </w:r>
            <w:r w:rsidR="00000000" w:rsidRPr="00000000" w:rsidDel="00000000">
              <w:rPr>
                <w:u w:val="single"/>
                <w:rtl w:val="0"/>
              </w:rPr>
              <w:t xml:space="preserve">var pieļaut domu</w:t>
            </w:r>
            <w:r w:rsidR="00000000" w:rsidRPr="00000000" w:rsidDel="00000000">
              <w:rPr>
                <w:rtl w:val="0"/>
              </w:rPr>
              <w:t xml:space="preserve">, ka attiecīgu ierobežojumu apmēru vai piegādes pārtraukšanas gadījumus noteiks pārvades sistēmas operators un sadales sistēmas operators savos dabasgāzes patēriņa ierobežošanas vai pārtraukšanas rīcības plānos. Ja tiesību akta projekta autori to tā arī ir iecerējuši, tad </w:t>
            </w:r>
            <w:r w:rsidR="00000000" w:rsidRPr="00000000" w:rsidDel="00000000">
              <w:rPr>
                <w:b w:val="1"/>
                <w:u w:val="single"/>
                <w:rtl w:val="0"/>
              </w:rPr>
              <w:t xml:space="preserve">šādam regulējumam Gaso kategoriski nepiekrīt</w:t>
            </w:r>
            <w:r w:rsidR="00000000" w:rsidRPr="00000000" w:rsidDel="00000000">
              <w:rPr>
                <w:rtl w:val="0"/>
              </w:rPr>
              <w:t xml:space="preserve">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Dabasgāzes piegāde lietotājiem notiek saskaņā ar dabasgāzes tirdzniecības līgumu, kuru savstarpēji ir noslēguši dabasgāzes tirgotājs un dabasgāzes lietotājs. Dabasgāzes piegādes pārtraukšana ir iespējama tikai līguma vai normatīvajos aktos noteiktajos gadījumos. Sadales vai pārvades sistēmas operators nav dabasgāzes tirdzniecības puse un tāpēc, bez normatīvā pamata nevar pieņemt lēmumu par dabasgāzes piegādes ierobežošanu vai pārtraukšanu dabasgāzes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Enerģētikas likuma 64.panta pirmās daļas 1.punktam tieši Ministru kabinets ir pilnvarots noteikt enerģijas patēriņa ierobežojumus un prioritātes atsevišķām enerģijas lietotāju grupām enerģētikās krīzes laikā. Ja noteikumu projekts uzliks par pienākumu sadales un pārvades sistēmas operatoram pieņemt lēmumu par gāzes piegādes vai ierobežošanu atsevišķaām dabasgāzes lietotāju grupām, tad tas nešaubīgi būs kvalificējams kā Ministru kabineta funkcijas pārdeleģēšana, kas no juridiskā viedokļa nav pieļaujama. Salīdziņoši nesen Satversmes tiesa jau bija pārmetusi Ministru kabinetam savu funkciju pārdeleģēšanu dabasgāzes sadales sistēmas operatoram (Satversmes tiesas 2021.gada 14.oktobra spriedums lietā Nr.2021-03-03). Gaso neuzskata, ka Ministru kabinets vēlētos atkārtoti saņemt līdzvērtīgu pārmetumu.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pūnkta iebildums ir attiecināms arī uz noteikumu projekta 25.2.apakšpunktu, 30.punktu un 32.2.apakšpunktu.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Ekonomikas ministrija sadarbībā ar Ministriju sagatavo un saskaņo ar Centru ceturtās grupas dabasgāzes lietotāju un to gazificēto objektu sarakstu, ņemot vērā dabasgāzes lietotāja nozīmi tautsaimniecībā, kā arī seku smagumu, kas iestāsies, ierobežojot vai pārtraucot dabasgāzes piegādi attiecīgā lietotāja gazificētajam objektam valsts enerģētiskās krīzes laikā. Sarakstu atjauno pēc nepieciešamības, bet ne retāk kā reizi trīs gados, un Ekonomikas ministrija informē attiecīgos lietotājus par iekļaušanu sarakstā vai svītrošanu no tā. Saraksts tiek nosūtīts dabasgāzes  sadales sistēmas operatoram.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24.punktā ir paredzēts, ka Ekonomikas ministrija sadarbībā ar Klimata un enerģētikas ministriju sagatavo un aktualizē tautsaimniecībai nozīmīgu komersantu sarakstu (dabasgāzes lietotāju ceturtā grupa). Vēršam uzmanību uz to, ka efektīvai enerģētiskās krīzes pārvarēšanai Gaso ir vitāli svarīgi būt informētam par aktuālo tautsaimniecībai nozīmīgu komersantu sarakstu jau pirmskrīzes apstākļos. Ievērojot minēto uzskatam par nepieciešamu noteikt kas un kādā konkrēti laikā pēc tautsaimniecībai nozīmīgu komersantu saraksta izstrādāšanas (aktualizēšanas) iesniedz to sadales sistēmas operatoram. Vienlaicīgi vēršam uzmanību uz to, ka aktuāls dabasgāzes ceturtās grupas lietotāju saraksts noteikti ir nozīmīgs arī pārvades sistēmas operatoram, tāpēc saraksta nosūtīšanu (nodošanu) ir jāparedz arī viņiem.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noteikta kārtība, kādā tiek ierobežots vai pārtraukts dabasgāzes patēriņš otrajai un trešajai dabasgāzes lietotāju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noteikumu projekta 7.punkta.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Dabasgāzes sadales sistēmas operators diennakts laikā pēc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minētās informācijas saņemšanas sagatavo un iesniedz Ministrijā informāciju par pirmās, otrās, trešās un ceturtās dabasgāzes lietotāju grupas dabasgāzes diennakts vidējo patēriņu. Diennakts vidējais patēriņš tiek noteikts, balstoties uz dabasgāzes lietotāju gazificētiem objektiem, kuriem ir diennakts dabasgāzes patēriņa uzskaite – no pēdējiem 10 diennakts patēriņa rādītājiem izvēloties astoņus lielākos diennakts patēriņa rādītājus un aprēķinot no tiem vidējo aritmētisko patēriņu. Savukārt dabasgāzes lietotāju gazificētiem objektiem, kuriem nav diennakts dabasgāzes patēriņa uzskaites – nosakot pēdējā mēneša vidējo aritmētisko diennakts patēriņu.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29.punkts ir precizējams nosakot Klimata un enerģētikas ministrijai iesniedzamās informācijas satura detalizācijas pakāpi, jo šobrīd nav saprotams vai informācija par dabasgāzes diennakts vidējo patēriņu ir jāsniedz kā attiecīgas grupas kopīgais vidējais patēriņš vai tomēr kā katra lietotāja vidējas patēriņš un tā piederību lietotāju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Pēc valsts enerģētiskās krīzes izsludināšanas vienotais dabasgāzes sistēmas operators un dabasgāzes sadales sistēmas operators informē ceturtās grupas dabasgāzes lietotājus par Ministru kabinetā apstiprināto dabasgāzes patēriņa ierobežojumu (procentos, kWh un m</w:t>
            </w:r>
            <w:r w:rsidR="00000000" w:rsidRPr="00000000" w:rsidDel="00000000">
              <w:rPr>
                <w:vertAlign w:val="superscript"/>
                <w:rtl w:val="0"/>
              </w:rPr>
              <w:t xml:space="preserve">3</w:t>
            </w:r>
            <w:r w:rsidR="00000000" w:rsidRPr="00000000" w:rsidDel="00000000">
              <w:rPr>
                <w:rtl w:val="0"/>
              </w:rPr>
              <w:t xml:space="preserve"> dienā), par aktuālo ikdienas (vidējo) patēriņu (kWh un m</w:t>
            </w:r>
            <w:r w:rsidR="00000000" w:rsidRPr="00000000" w:rsidDel="00000000">
              <w:rPr>
                <w:vertAlign w:val="superscript"/>
                <w:rtl w:val="0"/>
              </w:rPr>
              <w:t xml:space="preserve">3 </w:t>
            </w:r>
            <w:r w:rsidR="00000000" w:rsidRPr="00000000" w:rsidDel="00000000">
              <w:rPr>
                <w:rtl w:val="0"/>
              </w:rPr>
              <w:t xml:space="preserve">dienā) un pirmās, otrās un trešās grupas dabasgāzes lietotājus par dabasgāzes patēriņa ierobežojumu (procentos, kWh un m</w:t>
            </w:r>
            <w:r w:rsidR="00000000" w:rsidRPr="00000000" w:rsidDel="00000000">
              <w:rPr>
                <w:vertAlign w:val="superscript"/>
                <w:rtl w:val="0"/>
              </w:rPr>
              <w:t xml:space="preserve">3</w:t>
            </w:r>
            <w:r w:rsidR="00000000" w:rsidRPr="00000000" w:rsidDel="00000000">
              <w:rPr>
                <w:rtl w:val="0"/>
              </w:rPr>
              <w:t xml:space="preserve"> dienā), kas noteikts saskaņā ar plānu, kā arī par aktuālo ikdienas (vidējo) patēriņu (kWh un m</w:t>
            </w:r>
            <w:r w:rsidR="00000000" w:rsidRPr="00000000" w:rsidDel="00000000">
              <w:rPr>
                <w:vertAlign w:val="superscript"/>
                <w:rtl w:val="0"/>
              </w:rPr>
              <w:t xml:space="preserve">3</w:t>
            </w:r>
            <w:r w:rsidR="00000000" w:rsidRPr="00000000" w:rsidDel="00000000">
              <w:rPr>
                <w:rtl w:val="0"/>
              </w:rPr>
              <w:t xml:space="preserve"> dienā)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noteikumu projekta 7.punkta.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pēc informācijas par dabasgāzes patēriņa ierobežojumiem saņemšanas nekavējoties, bet ne vēlāk kā līdz nākamās gāzes dienas beigām samazināt dabasgāzes patēriņu atbilstoši Ministru kabineta vai plānā noteiktajam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iebildumu pie noteikumu projekta 7.punkta.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Dabasgāzes lietotājiem, kas glabā dabasgāzi Inčukalna pazemes gāzes krātuvē, nav ierobežota dabasgāzes izņemšana no krātuves, ja Centrs nav lēmis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ir precizējams nosakot, ka dabasgāzes lietotājs neierobežoti var tērēt dabasgāzi tikai tik daudz, cik tās to glabā gāzes krātuvē. No pašreizējās redakcijas izriet, ka dabasgāzes lietotājs neatkarīgi no viņam piederošās krātuvē uzglabātās dabasgāzes apjoma dabasgāzi tērē neierobežoti visu enerģētiskas krīzes laiku, tai skaitā, ja ir pārtērējis viņam piederošus krātuvē esošos krājumus.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Pēc valsts enerģētiskās krīzes izsludināšanas Centrs, izmantojot plašsaziņas līdzekļus, informē sabiedrību par valsts enerģētisko krīzi un par tās laikā īstenojamiem pasākumiem. Centrs var lemt par citu sabiedrības informēšanas veidu un līdzekļu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8.punktā paredzētais regulējums rada priekšstatu, ka Valsts enerģētikās krīzes centra lēmumi ir ar augstāku juridisko spēku par Ministru kabineta noteikumus paredzēto regulējumu. Minētās neatbilstības novēršanai ierosinām noteikumu projekta 8.punktā paredzēt, ka valsts enerģētiskās krīzes izsludināšanai obligāti tiek izmantoti plašsaziņas līdzekļi. Savukārt Valsts enerģētikās krīzes centrs var pieņemt lēmumu par papildus resursu iesaistīšanu valsts enerģētiskās krīzes izsludināšanas efektivitātes paaugstināšanai.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enerģētiskās krīzes dabasgāzes nozarē pārvarēšanai dabasgāzes lietotāji tiek iedalīti četrās grupās: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22.punkts paredz, ka Valsts enerģētiskās krīzes dabasgāzes nozarē pārvarēšanai lietotāji tiek iedalīti četrās grupās. Ierosinām izvērtēt šāda iedalījuma nepieciešamību, jo noteikumu projekts attiecībā uz otro un trešo grupu neparedz atšķirīgu regulējumu krīzes pārvarēšanai.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Pēc Ministru kabineta rīkojuma par rezerves izmantošanu apstiprināšanas dabasgāzes tirgotājs nodrošina no vienotā dabasgāzes sistēmas operatora saņemtās rezerves piegādi nodrošināmiem lietotājiem, ar kuriem tam ir noslēgts dabasgāzes tirdzniecības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40.punkts paredz, ka Ministru kabineta rīkojuma par rezerves izmantošanu apstiprināšanas dabasgāzes tirgotājs nodrošina no dabasgāzes pārvades sistēmas operatora saņemtās rezerves piegādi nodrošināmiem lietotājiem, ar kuriem tam ir noslēgts dabasgāzes tirdzniecības līgums. Pārpratumu novēršanas nolūkos aicinām noteikumu projektā noregulēt kārtību, kādā tiks veikti norēķini rezerves dabasgāzes izlietošanu enerģētiskās krīzes laika. Ievērojot to, ka rezerves dabasgāze nepieder dabasgāzes tirgotājiem, šobrīd nav skaidrs kam ir jāmaksā par tās izmantošanu un par kādu cenu lietotāji to izmantos.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Lācis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30.04.2024. 13.30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24-TA-215</w:t>
    </w:r>
    <w:r>
      <w:br/>
    </w:r>
    <w:r w:rsidR="00000000" w:rsidRPr="00000000" w:rsidDel="00000000">
      <w:rPr>
        <w:rtl w:val="0"/>
      </w:rPr>
      <w:t xml:space="preserve">Izdrukāts 30.04.2024. 13.30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Atzinumi_24-TA-215.docx</dc:title>
</cp:coreProperties>
</file>

<file path=docProps/custom.xml><?xml version="1.0" encoding="utf-8"?>
<Properties xmlns="http://schemas.openxmlformats.org/officeDocument/2006/custom-properties" xmlns:vt="http://schemas.openxmlformats.org/officeDocument/2006/docPropsVTypes"/>
</file>