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Baltijas jūras un Rīgas jūras līča piekrastes aizsargjoslas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Krasta kāpu aizsargjoslas robežas noteikšanas pamatprincipi pilsētās un ciemos, iekļaujot īpaši aizsargājamos biotopus atbilstoši šo noteikumu </w:t>
            </w:r>
            <w:r w:rsidR="00000000" w:rsidRPr="00000000" w:rsidDel="00000000">
              <w:rPr>
                <w:rtl w:val="0"/>
              </w:rPr>
              <w:t xml:space="preserve">7. </w:t>
            </w:r>
            <w:r w:rsidR="00000000" w:rsidRPr="00000000" w:rsidDel="00000000">
              <w:rPr>
                <w:rtl w:val="0"/>
              </w:rPr>
              <w:t xml:space="preserve">punktam</w:t>
            </w:r>
            <w:r w:rsidR="00000000" w:rsidRPr="00000000" w:rsidDel="00000000">
              <w:rPr>
                <w:rtl w:val="0"/>
              </w:rPr>
              <w:t xml:space="preserve">, norādīti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Ņemot vērā situāciju dabā un vēsturisko apdzīvojuma struktūru, ir iespējamas atkāpes no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minētajām prasībām, ja pašvaldība saņēmusi saskaņojumu ar attiecīgajām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saskaņo tiesību akta projektu. Tomēr, Ekonomikas ministrijas ieskatā, noteikumu projekta 8.punktā minētā iespēja saskaņošanas kārtībā paredzēt atkāpes no noteikumu projekta 7.punktā ietvertajā prasībām būtu plašāk apskatāma teritorijas plānošana jomas regulējumā, lai būtu vienota atkāpju saskaņošanas kārtība un, pēc iespējas, izslēgtu iespējas noraidīt atkāpju iespējamu, balstoties uz subjektīviem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30.01.2024. 09.38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30.01.2024. 09.38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Atzinumi_22-TA-1406.docx</dc:title>
</cp:coreProperties>
</file>

<file path=docProps/custom.xml><?xml version="1.0" encoding="utf-8"?>
<Properties xmlns="http://schemas.openxmlformats.org/officeDocument/2006/custom-properties" xmlns:vt="http://schemas.openxmlformats.org/officeDocument/2006/docPropsVTypes"/>
</file>