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14. aprīļa noteikumos Nr. 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6</w:t>
            </w:r>
            <w:r w:rsidR="00000000" w:rsidRPr="00000000" w:rsidDel="00000000">
              <w:rPr>
                <w:rtl w:val="0"/>
              </w:rPr>
              <w:t xml:space="preserve"> Komersants marķēto dīzeļdegvielu līdz 2024.gada 31.decembrim drīkst realizēt lauksaimniekam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 un ja ķīmiskā viela ir iegādāta līdz 2023.gada 25.jūlijam.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"līdz 2024.gada 31.decembrim" ar "līdz 2024.gada 30.jūnijam" un svītrot vārdus "un ja ķīmiskā viela ir iegādāta līdz 2023.gada 25.jūlijam"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degvielas piegādātājiem t.s. lauksaimnieku degvielai ir pievienojams marķieris pēc spēkā esošajiem noteikumiem un ir nepieciešams noteikt saprātīgu un paredzamu pārejas periodu marķiera maiņai, lai izlietotu esošo, t.sk. to, kas iegādāts pēc spēkā esošajiem noteikumiem pēc šā gada 25.jūlija, un iegādātos jaunu.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Komersants marķēto dīzeļdegvielu līdz 2024.gada 30.jūnijam drīkst realizēt lauksaimniekam Latvijas Republikā, nepievienojot papildus šo noteikumu 25.1.apakšpunktā minēto ķīmisko vielu (fiskālo marķieri), ja iezīmētiem naftas produktiem uz 1000 litriem ir pievienota ķīmiskā viela N-etil-n-[2-(1-izobutoksietoksi)etil]-4-(fenilazo)anilīns (Solvent Yellow 124, CAS Nr.34432-92-3) - vismaz 6,0 gramu, bet ne vairāk kā 9,0 gramu.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Ligere (LDTA)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28.11.2023. 10.43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23-TA-1414</w:t>
    </w:r>
    <w:r>
      <w:br/>
    </w:r>
    <w:r w:rsidR="00000000" w:rsidRPr="00000000" w:rsidDel="00000000">
      <w:rPr>
        <w:rtl w:val="0"/>
      </w:rPr>
      <w:t xml:space="preserve">Izdrukāts 28.11.2023. 10.43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Atzinumi_23-TA-1414.docx</dc:title>
</cp:coreProperties>
</file>

<file path=docProps/custom.xml><?xml version="1.0" encoding="utf-8"?>
<Properties xmlns="http://schemas.openxmlformats.org/officeDocument/2006/custom-properties" xmlns:vt="http://schemas.openxmlformats.org/officeDocument/2006/docPropsVTypes"/>
</file>