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Pašvaldību autoceļu uzturēšanas pārraudzības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autoceļu uzturēšanas pārraudzības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atkārtoti norāda,  ka  līdz šim  paredzētā kārtība  veicina birokrātiju  un palielina administratīvo slogu pašvaldībām, neparedzot papildu finansējumu vai resursus. Ņemot vērā pašvaldību budžetu ierobežojumus un jau esošo nepietiekamo finansējumu ceļu uzturēšanai, pašreizējasi uzraudzības modelis  nav samērīgs. LPS ierosina pārcelt mērķdotācijas izlietojuma kontroli uz pašvaldības iekšējās kontroles sistēmas auditu, nevis LVC inspektoru pārbaudēm. Noteikumos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Samazināt pārraudzības biežumu un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Pagarināt termiņus neatbilstību novēršanai un iebildumu iesniegšanu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05.01.2026.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05.01.2026.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Atzinumi_25-TA-2610.docx</dc:title>
</cp:coreProperties>
</file>

<file path=docProps/custom.xml><?xml version="1.0" encoding="utf-8"?>
<Properties xmlns="http://schemas.openxmlformats.org/officeDocument/2006/custom-properties" xmlns:vt="http://schemas.openxmlformats.org/officeDocument/2006/docPropsVTypes"/>
</file>