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apgūst speciālās zināšanas bērnu tiesību aizsardzības jomā, šo zināšanu saturu un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sniegt skaidrojumu norādītajām atsaucēm “*”, “**”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2023.gadā apakšprogrammas 22.01.00 “Bērnu aizsardzības centra darbības nodrošināšana” ietvaros apmācīti 527 dalībnieki, savukārt 2024.gadā un turpmāk ik gadu prognozēts apmācīt tikai 74 dalībniekus. Ņemot vērā minēto, nav saprotams, uz kādiem pieņēmumiem tiek balstīts 2024.gadā prognozētais apmācāmo dalībnieku skaits un vai ar prognozēto skaitu tiks nodrošināts noteikumu projektā paredzētais speciālo zināšanu apgūšanas un pilnveides laika plānojums, līdz ar to nepieciešams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noteikumu projektā ietverto normu īstenošanai plānoto subjektu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norādītajam) skaitu un to finansēšanas avotu (apakšprogrammas 22.01.00 “Bērnu aizsardzības centra darbības nodrošināšana” piešķirto līdzekļu ietvaros vai apakšprogrammas 63.08.00 “Eiropas Sociālā fonda Plus (ESF+) projektu un pasākumu īstenošana (2021 – 2027)” projekta “Profesionālās kvalifikācijas pilnveide bērnu tiesību aizsardzības jautājumos un bērnu likumisko pārstāvju atbildības stiprināšana”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2024.gadā, nepieciešams anotācijas 3.sadaļas tabulas ailēs precizēt norādītos periodus, attiecīgi precizējot anotācijas 3.sadaļas 6.punktu un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apakšprogrammas 22.01.00 nosaukumu uz “Bērnu aizsardzības centra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norādīt Eiropas Savienības kohēzijas politikas programmas 2021.–2027.gadam pasākumu, kura ietvaros ir plānots projekts “Profesionālās kvalifikācijas pilnveide bērnu tiesību aizsardzības jautājumos un bērnu likumisko pārstāvju atbildības stiprināšana”, ņemot vērā, ka šobrīd Kohēzijas politikas fondu vadības informācijas sistēmā (KPVIS) nav pieejama informācija par šādu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10.01.2024.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10.01.2024.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Atzinumi_23-TA-2453.docx</dc:title>
</cp:coreProperties>
</file>

<file path=docProps/custom.xml><?xml version="1.0" encoding="utf-8"?>
<Properties xmlns="http://schemas.openxmlformats.org/officeDocument/2006/custom-properties" xmlns:vt="http://schemas.openxmlformats.org/officeDocument/2006/docPropsVTypes"/>
</file>