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Gaisa piesārņojuma samazināšanas rīcības plānu 2025.-2030.gadam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Gaisa piesārņojuma samazināšanas rīcības plāns 2025.-2030.gadam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ņemt vērā, ka rīcības plāna 1.4. sadaļā (1.tabulā) minēto Fizikālās enerģētikas institūtu (FEI) 2025.gadā (FEI slēguma bilanci sagatavo līdz 2026.g. martam) plāno pievienot Elektronikas un datorzinātņu institūtam (EDI).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FEI pievienošanu EDI lūdzu skatīt 14.03.2025. IZM sagatavoto un iesniegto TA projektu VK ar ID.nr. 24-TA-2577: Par atvasinātas publiskas personas - valsts zinātniskā institūta "Fizikālās enerģētikas institūts" - likvidāciju. Līdz ar to, Elektronikas un datorzinātņu institūts ir Fizikālās enerģētikas institūta funkciju, personāla, tiesību, saistību, prasību, finanšu līdzekļu, krājumu, lietvedības, arhīvu, materiālo un nemateriālo vērtību un kustamās mantas pārņēmējs.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Leiškalne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21.03.2025.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21.03.2025.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